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5C61AB" w14:paraId="47B791CE" w14:textId="77777777" w:rsidTr="002D7F03">
        <w:trPr>
          <w:trHeight w:val="907"/>
        </w:trPr>
        <w:tc>
          <w:tcPr>
            <w:tcW w:w="3085" w:type="dxa"/>
            <w:shd w:val="clear" w:color="auto" w:fill="auto"/>
          </w:tcPr>
          <w:p w14:paraId="09F54504" w14:textId="19D900EE" w:rsidR="002D7F03" w:rsidRPr="005C61AB" w:rsidRDefault="008072AB" w:rsidP="002D7F03">
            <w:pPr>
              <w:rPr>
                <w:rFonts w:ascii="Calibri" w:hAnsi="Calibri"/>
                <w:lang w:val="en-GB"/>
              </w:rPr>
            </w:pPr>
            <w:r w:rsidRPr="005C61AB">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5693DFA8" w:rsidR="002D7F03" w:rsidRPr="005C61AB" w:rsidRDefault="004330BA" w:rsidP="002D7F03">
            <w:pPr>
              <w:jc w:val="center"/>
              <w:rPr>
                <w:rFonts w:ascii="Calibri" w:hAnsi="Calibri" w:cs="Arial"/>
                <w:b/>
                <w:sz w:val="56"/>
                <w:szCs w:val="56"/>
                <w:lang w:val="en-GB"/>
              </w:rPr>
            </w:pPr>
            <w:r w:rsidRPr="005C61AB">
              <w:rPr>
                <w:rFonts w:ascii="Calibri" w:hAnsi="Calibri" w:cs="Arial"/>
                <w:b/>
                <w:sz w:val="56"/>
                <w:szCs w:val="56"/>
                <w:lang w:val="en-GB"/>
              </w:rPr>
              <w:t>PRESS RELEASE</w:t>
            </w:r>
          </w:p>
        </w:tc>
      </w:tr>
    </w:tbl>
    <w:p w14:paraId="68617974" w14:textId="77777777" w:rsidR="004E047A" w:rsidRPr="005C61AB" w:rsidRDefault="004E047A" w:rsidP="00C54DF4">
      <w:pPr>
        <w:jc w:val="both"/>
        <w:rPr>
          <w:rFonts w:ascii="Calibri" w:hAnsi="Calibri"/>
          <w:sz w:val="22"/>
          <w:szCs w:val="22"/>
          <w:lang w:val="en-GB"/>
        </w:rPr>
      </w:pPr>
    </w:p>
    <w:p w14:paraId="7E7D4D60" w14:textId="422F9E3E" w:rsidR="00E210E3" w:rsidRPr="005C61AB" w:rsidRDefault="004330BA" w:rsidP="008F60EE">
      <w:pPr>
        <w:spacing w:before="120"/>
        <w:jc w:val="both"/>
        <w:rPr>
          <w:rFonts w:ascii="Calibri" w:hAnsi="Calibri" w:cs="Arial"/>
          <w:b/>
          <w:color w:val="0070C0"/>
          <w:sz w:val="32"/>
          <w:szCs w:val="32"/>
          <w:lang w:val="en-GB"/>
        </w:rPr>
      </w:pPr>
      <w:r w:rsidRPr="005C61AB">
        <w:rPr>
          <w:rFonts w:ascii="Calibri" w:hAnsi="Calibri" w:cs="Arial"/>
          <w:b/>
          <w:color w:val="0070C0"/>
          <w:sz w:val="32"/>
          <w:szCs w:val="32"/>
          <w:lang w:val="en-GB"/>
        </w:rPr>
        <w:t xml:space="preserve">In 2020, CTIA took counterfeits for almost CZK 32.5 </w:t>
      </w:r>
      <w:proofErr w:type="gramStart"/>
      <w:r w:rsidRPr="005C61AB">
        <w:rPr>
          <w:rFonts w:ascii="Calibri" w:hAnsi="Calibri" w:cs="Arial"/>
          <w:b/>
          <w:color w:val="0070C0"/>
          <w:sz w:val="32"/>
          <w:szCs w:val="32"/>
          <w:lang w:val="en-GB"/>
        </w:rPr>
        <w:t>million</w:t>
      </w:r>
      <w:proofErr w:type="gramEnd"/>
    </w:p>
    <w:p w14:paraId="5E53E030" w14:textId="04D3C68C" w:rsidR="008F60EE" w:rsidRPr="005C61AB" w:rsidRDefault="008F60EE" w:rsidP="008F60EE">
      <w:pPr>
        <w:spacing w:after="120"/>
        <w:jc w:val="both"/>
        <w:rPr>
          <w:rFonts w:ascii="Calibri" w:hAnsi="Calibri" w:cs="Arial"/>
          <w:i/>
          <w:color w:val="0070C0"/>
          <w:sz w:val="32"/>
          <w:szCs w:val="32"/>
          <w:lang w:val="en-GB"/>
        </w:rPr>
      </w:pPr>
      <w:r w:rsidRPr="005C61AB">
        <w:rPr>
          <w:rFonts w:ascii="Calibri" w:hAnsi="Calibri" w:cs="Calibri"/>
          <w:i/>
          <w:sz w:val="22"/>
          <w:szCs w:val="22"/>
          <w:lang w:val="en-GB"/>
        </w:rPr>
        <w:t>(</w:t>
      </w:r>
      <w:r w:rsidR="004330BA" w:rsidRPr="005C61AB">
        <w:rPr>
          <w:rFonts w:ascii="Calibri" w:hAnsi="Calibri" w:cs="Calibri"/>
          <w:i/>
          <w:sz w:val="22"/>
          <w:szCs w:val="22"/>
          <w:lang w:val="en-GB"/>
        </w:rPr>
        <w:t>Final report of 2020</w:t>
      </w:r>
      <w:r w:rsidRPr="005C61AB">
        <w:rPr>
          <w:rFonts w:ascii="Calibri" w:hAnsi="Calibri" w:cs="Calibri"/>
          <w:i/>
          <w:sz w:val="22"/>
          <w:szCs w:val="22"/>
          <w:lang w:val="en-GB"/>
        </w:rPr>
        <w:t>)</w:t>
      </w:r>
    </w:p>
    <w:p w14:paraId="04E780FC" w14:textId="7E506939" w:rsidR="004330BA" w:rsidRPr="005C61AB" w:rsidRDefault="00AC5225" w:rsidP="004330BA">
      <w:pPr>
        <w:spacing w:before="120" w:after="120" w:line="276" w:lineRule="auto"/>
        <w:jc w:val="both"/>
        <w:rPr>
          <w:rFonts w:asciiTheme="minorHAnsi" w:hAnsiTheme="minorHAnsi" w:cstheme="minorHAnsi"/>
          <w:b/>
          <w:sz w:val="22"/>
          <w:szCs w:val="22"/>
          <w:lang w:val="en-GB"/>
        </w:rPr>
      </w:pPr>
      <w:r w:rsidRPr="005C61AB">
        <w:rPr>
          <w:rFonts w:ascii="Calibri" w:hAnsi="Calibri" w:cs="Calibri"/>
          <w:b/>
          <w:i/>
          <w:sz w:val="22"/>
          <w:szCs w:val="22"/>
          <w:lang w:val="en-GB"/>
        </w:rPr>
        <w:t>(</w:t>
      </w:r>
      <w:r w:rsidR="0093311E" w:rsidRPr="005C61AB">
        <w:rPr>
          <w:rFonts w:ascii="Calibri" w:hAnsi="Calibri" w:cs="Calibri"/>
          <w:b/>
          <w:i/>
          <w:sz w:val="22"/>
          <w:szCs w:val="22"/>
          <w:lang w:val="en-GB"/>
        </w:rPr>
        <w:t>Pra</w:t>
      </w:r>
      <w:r w:rsidR="004330BA" w:rsidRPr="005C61AB">
        <w:rPr>
          <w:rFonts w:ascii="Calibri" w:hAnsi="Calibri" w:cs="Calibri"/>
          <w:b/>
          <w:i/>
          <w:sz w:val="22"/>
          <w:szCs w:val="22"/>
          <w:lang w:val="en-GB"/>
        </w:rPr>
        <w:t>gue</w:t>
      </w:r>
      <w:r w:rsidR="001676F1" w:rsidRPr="005C61AB">
        <w:rPr>
          <w:rFonts w:ascii="Calibri" w:hAnsi="Calibri" w:cs="Calibri"/>
          <w:b/>
          <w:i/>
          <w:sz w:val="22"/>
          <w:szCs w:val="22"/>
          <w:lang w:val="en-GB"/>
        </w:rPr>
        <w:t xml:space="preserve">, </w:t>
      </w:r>
      <w:r w:rsidR="00AF3AD6" w:rsidRPr="005C61AB">
        <w:rPr>
          <w:rFonts w:ascii="Calibri" w:hAnsi="Calibri" w:cs="Calibri"/>
          <w:b/>
          <w:i/>
          <w:sz w:val="22"/>
          <w:szCs w:val="22"/>
          <w:lang w:val="en-GB"/>
        </w:rPr>
        <w:t>22</w:t>
      </w:r>
      <w:r w:rsidR="004330BA" w:rsidRPr="005C61AB">
        <w:rPr>
          <w:rFonts w:ascii="Calibri" w:hAnsi="Calibri" w:cs="Calibri"/>
          <w:b/>
          <w:i/>
          <w:sz w:val="22"/>
          <w:szCs w:val="22"/>
          <w:lang w:val="en-GB"/>
        </w:rPr>
        <w:t xml:space="preserve"> </w:t>
      </w:r>
      <w:proofErr w:type="gramStart"/>
      <w:r w:rsidR="004330BA" w:rsidRPr="005C61AB">
        <w:rPr>
          <w:rFonts w:ascii="Calibri" w:hAnsi="Calibri" w:cs="Calibri"/>
          <w:b/>
          <w:i/>
          <w:sz w:val="22"/>
          <w:szCs w:val="22"/>
          <w:lang w:val="en-GB"/>
        </w:rPr>
        <w:t>February,</w:t>
      </w:r>
      <w:proofErr w:type="gramEnd"/>
      <w:r w:rsidR="00DA3444" w:rsidRPr="005C61AB">
        <w:rPr>
          <w:rFonts w:asciiTheme="minorHAnsi" w:hAnsiTheme="minorHAnsi" w:cstheme="minorHAnsi"/>
          <w:b/>
          <w:i/>
          <w:sz w:val="22"/>
          <w:szCs w:val="22"/>
          <w:lang w:val="en-GB"/>
        </w:rPr>
        <w:t xml:space="preserve"> 202</w:t>
      </w:r>
      <w:r w:rsidR="000B5C40" w:rsidRPr="005C61AB">
        <w:rPr>
          <w:rFonts w:asciiTheme="minorHAnsi" w:hAnsiTheme="minorHAnsi" w:cstheme="minorHAnsi"/>
          <w:b/>
          <w:i/>
          <w:sz w:val="22"/>
          <w:szCs w:val="22"/>
          <w:lang w:val="en-GB"/>
        </w:rPr>
        <w:t>1</w:t>
      </w:r>
      <w:r w:rsidR="00CE0241" w:rsidRPr="005C61AB">
        <w:rPr>
          <w:rFonts w:asciiTheme="minorHAnsi" w:hAnsiTheme="minorHAnsi" w:cstheme="minorHAnsi"/>
          <w:b/>
          <w:i/>
          <w:sz w:val="22"/>
          <w:szCs w:val="22"/>
          <w:lang w:val="en-GB"/>
        </w:rPr>
        <w:t>)</w:t>
      </w:r>
      <w:r w:rsidRPr="005C61AB">
        <w:rPr>
          <w:rFonts w:asciiTheme="minorHAnsi" w:hAnsiTheme="minorHAnsi" w:cstheme="minorHAnsi"/>
          <w:b/>
          <w:sz w:val="22"/>
          <w:szCs w:val="22"/>
          <w:lang w:val="en-GB"/>
        </w:rPr>
        <w:t xml:space="preserve"> </w:t>
      </w:r>
      <w:r w:rsidR="004330BA" w:rsidRPr="005C61AB">
        <w:rPr>
          <w:rFonts w:asciiTheme="minorHAnsi" w:hAnsiTheme="minorHAnsi" w:cstheme="minorHAnsi"/>
          <w:b/>
          <w:sz w:val="22"/>
          <w:szCs w:val="22"/>
          <w:lang w:val="en-GB"/>
        </w:rPr>
        <w:t xml:space="preserve">The Czech Trade Inspection Authority regularly monitors whether counterfeit goods </w:t>
      </w:r>
      <w:proofErr w:type="gramStart"/>
      <w:r w:rsidR="004330BA" w:rsidRPr="005C61AB">
        <w:rPr>
          <w:rFonts w:asciiTheme="minorHAnsi" w:hAnsiTheme="minorHAnsi" w:cstheme="minorHAnsi"/>
          <w:b/>
          <w:sz w:val="22"/>
          <w:szCs w:val="22"/>
          <w:lang w:val="en-GB"/>
        </w:rPr>
        <w:t>are offered and sold on the domestic market</w:t>
      </w:r>
      <w:proofErr w:type="gramEnd"/>
      <w:r w:rsidR="004330BA" w:rsidRPr="005C61AB">
        <w:rPr>
          <w:rFonts w:asciiTheme="minorHAnsi" w:hAnsiTheme="minorHAnsi" w:cstheme="minorHAnsi"/>
          <w:b/>
          <w:sz w:val="22"/>
          <w:szCs w:val="22"/>
          <w:lang w:val="en-GB"/>
        </w:rPr>
        <w:t xml:space="preserve">. Last year, it carried out 811 inspections in this area, 213 of which were with violations of the ban on offering, selling and storing products infringing certain intellectual property rights. In total, it secured 18,845 items of counterfeits </w:t>
      </w:r>
      <w:r w:rsidR="00D2413B">
        <w:rPr>
          <w:rFonts w:asciiTheme="minorHAnsi" w:hAnsiTheme="minorHAnsi" w:cstheme="minorHAnsi"/>
          <w:b/>
          <w:sz w:val="22"/>
          <w:szCs w:val="22"/>
          <w:lang w:val="en-GB"/>
        </w:rPr>
        <w:t>in the pri</w:t>
      </w:r>
      <w:r w:rsidR="004330BA" w:rsidRPr="005C61AB">
        <w:rPr>
          <w:rFonts w:asciiTheme="minorHAnsi" w:hAnsiTheme="minorHAnsi" w:cstheme="minorHAnsi"/>
          <w:b/>
          <w:sz w:val="22"/>
          <w:szCs w:val="22"/>
          <w:lang w:val="en-GB"/>
        </w:rPr>
        <w:t xml:space="preserve">ces of originals amounting to CZK 32,492,870.80. In terms of assortment, textile products and toys </w:t>
      </w:r>
      <w:proofErr w:type="gramStart"/>
      <w:r w:rsidR="004330BA" w:rsidRPr="005C61AB">
        <w:rPr>
          <w:rFonts w:asciiTheme="minorHAnsi" w:hAnsiTheme="minorHAnsi" w:cstheme="minorHAnsi"/>
          <w:b/>
          <w:sz w:val="22"/>
          <w:szCs w:val="22"/>
          <w:lang w:val="en-GB"/>
        </w:rPr>
        <w:t>were most often counterfeited</w:t>
      </w:r>
      <w:proofErr w:type="gramEnd"/>
      <w:r w:rsidR="004330BA" w:rsidRPr="005C61AB">
        <w:rPr>
          <w:rFonts w:asciiTheme="minorHAnsi" w:hAnsiTheme="minorHAnsi" w:cstheme="minorHAnsi"/>
          <w:b/>
          <w:sz w:val="22"/>
          <w:szCs w:val="22"/>
          <w:lang w:val="en-GB"/>
        </w:rPr>
        <w:t>. Pokémon, Apple and Tommy Hilfiger dominated the total number of products taken.</w:t>
      </w:r>
    </w:p>
    <w:p w14:paraId="5F263C01" w14:textId="1ADE54B2" w:rsidR="004330BA" w:rsidRPr="005C61AB" w:rsidRDefault="004330BA" w:rsidP="004330BA">
      <w:pPr>
        <w:spacing w:before="120" w:after="120" w:line="276" w:lineRule="auto"/>
        <w:jc w:val="both"/>
        <w:rPr>
          <w:rFonts w:asciiTheme="minorHAnsi" w:hAnsiTheme="minorHAnsi" w:cstheme="minorHAnsi"/>
          <w:sz w:val="22"/>
          <w:szCs w:val="22"/>
          <w:lang w:val="en-GB"/>
        </w:rPr>
      </w:pPr>
      <w:r w:rsidRPr="005C61AB">
        <w:rPr>
          <w:rFonts w:asciiTheme="minorHAnsi" w:hAnsiTheme="minorHAnsi" w:cstheme="minorHAnsi"/>
          <w:sz w:val="22"/>
          <w:szCs w:val="22"/>
          <w:lang w:val="en-GB"/>
        </w:rPr>
        <w:t>In the period from 1 January to 31 December 2020, the Czech Trade Inspection Authority inspected the compliance with provisions of Section 8 of the Act No. 634/1992 Coll., on Consumer Protection. Under t</w:t>
      </w:r>
      <w:r w:rsidR="005C61AB" w:rsidRPr="005C61AB">
        <w:rPr>
          <w:rFonts w:asciiTheme="minorHAnsi" w:hAnsiTheme="minorHAnsi" w:cstheme="minorHAnsi"/>
          <w:sz w:val="22"/>
          <w:szCs w:val="22"/>
          <w:lang w:val="en-GB"/>
        </w:rPr>
        <w:t>his</w:t>
      </w:r>
      <w:r w:rsidRPr="005C61AB">
        <w:rPr>
          <w:rFonts w:asciiTheme="minorHAnsi" w:hAnsiTheme="minorHAnsi" w:cstheme="minorHAnsi"/>
          <w:sz w:val="22"/>
          <w:szCs w:val="22"/>
          <w:lang w:val="en-GB"/>
        </w:rPr>
        <w:t xml:space="preserve"> provision, it is prohibited to offer, sell and store products infringing certain intellectual property rights or unauthorised use </w:t>
      </w:r>
      <w:proofErr w:type="gramStart"/>
      <w:r w:rsidRPr="005C61AB">
        <w:rPr>
          <w:rFonts w:asciiTheme="minorHAnsi" w:hAnsiTheme="minorHAnsi" w:cstheme="minorHAnsi"/>
          <w:sz w:val="22"/>
          <w:szCs w:val="22"/>
          <w:lang w:val="en-GB"/>
        </w:rPr>
        <w:t xml:space="preserve">of a </w:t>
      </w:r>
      <w:r w:rsidR="005C61AB" w:rsidRPr="005C61AB">
        <w:rPr>
          <w:rFonts w:asciiTheme="minorHAnsi" w:hAnsiTheme="minorHAnsi" w:cstheme="minorHAnsi"/>
          <w:sz w:val="22"/>
          <w:szCs w:val="22"/>
          <w:lang w:val="en-GB"/>
        </w:rPr>
        <w:t>trademarks</w:t>
      </w:r>
      <w:proofErr w:type="gramEnd"/>
      <w:r w:rsidRPr="005C61AB">
        <w:rPr>
          <w:rFonts w:asciiTheme="minorHAnsi" w:hAnsiTheme="minorHAnsi" w:cstheme="minorHAnsi"/>
          <w:sz w:val="22"/>
          <w:szCs w:val="22"/>
          <w:lang w:val="en-GB"/>
        </w:rPr>
        <w:t xml:space="preserve"> protected under a specific law for the purpose</w:t>
      </w:r>
      <w:r w:rsidR="005C61AB" w:rsidRPr="005C61AB">
        <w:rPr>
          <w:rFonts w:asciiTheme="minorHAnsi" w:hAnsiTheme="minorHAnsi" w:cstheme="minorHAnsi"/>
          <w:sz w:val="22"/>
          <w:szCs w:val="22"/>
          <w:lang w:val="en-GB"/>
        </w:rPr>
        <w:t>s</w:t>
      </w:r>
      <w:r w:rsidRPr="005C61AB">
        <w:rPr>
          <w:rFonts w:asciiTheme="minorHAnsi" w:hAnsiTheme="minorHAnsi" w:cstheme="minorHAnsi"/>
          <w:sz w:val="22"/>
          <w:szCs w:val="22"/>
          <w:lang w:val="en-GB"/>
        </w:rPr>
        <w:t xml:space="preserve"> of </w:t>
      </w:r>
      <w:r w:rsidR="005C61AB" w:rsidRPr="005C61AB">
        <w:rPr>
          <w:rFonts w:asciiTheme="minorHAnsi" w:hAnsiTheme="minorHAnsi" w:cstheme="minorHAnsi"/>
          <w:sz w:val="22"/>
          <w:szCs w:val="22"/>
          <w:lang w:val="en-GB"/>
        </w:rPr>
        <w:t>offer</w:t>
      </w:r>
      <w:r w:rsidRPr="005C61AB">
        <w:rPr>
          <w:rFonts w:asciiTheme="minorHAnsi" w:hAnsiTheme="minorHAnsi" w:cstheme="minorHAnsi"/>
          <w:sz w:val="22"/>
          <w:szCs w:val="22"/>
          <w:lang w:val="en-GB"/>
        </w:rPr>
        <w:t>, sale and storage</w:t>
      </w:r>
      <w:r w:rsidR="005C61AB" w:rsidRPr="005C61AB">
        <w:rPr>
          <w:rFonts w:asciiTheme="minorHAnsi" w:hAnsiTheme="minorHAnsi" w:cstheme="minorHAnsi"/>
          <w:sz w:val="22"/>
          <w:szCs w:val="22"/>
          <w:lang w:val="en-GB"/>
        </w:rPr>
        <w:t xml:space="preserve"> of products. The CTIA</w:t>
      </w:r>
      <w:r w:rsidRPr="005C61AB">
        <w:rPr>
          <w:rFonts w:asciiTheme="minorHAnsi" w:hAnsiTheme="minorHAnsi" w:cstheme="minorHAnsi"/>
          <w:sz w:val="22"/>
          <w:szCs w:val="22"/>
          <w:lang w:val="en-GB"/>
        </w:rPr>
        <w:t xml:space="preserve"> carried out </w:t>
      </w:r>
      <w:proofErr w:type="gramStart"/>
      <w:r w:rsidRPr="005C61AB">
        <w:rPr>
          <w:rFonts w:asciiTheme="minorHAnsi" w:hAnsiTheme="minorHAnsi" w:cstheme="minorHAnsi"/>
          <w:sz w:val="22"/>
          <w:szCs w:val="22"/>
          <w:lang w:val="en-GB"/>
        </w:rPr>
        <w:t>a total of 811</w:t>
      </w:r>
      <w:proofErr w:type="gramEnd"/>
      <w:r w:rsidRPr="005C61AB">
        <w:rPr>
          <w:rFonts w:asciiTheme="minorHAnsi" w:hAnsiTheme="minorHAnsi" w:cstheme="minorHAnsi"/>
          <w:sz w:val="22"/>
          <w:szCs w:val="22"/>
          <w:lang w:val="en-GB"/>
        </w:rPr>
        <w:t xml:space="preserve"> inspections and found violations of this section in 213 inspections. It </w:t>
      </w:r>
      <w:r w:rsidR="005C61AB" w:rsidRPr="005C61AB">
        <w:rPr>
          <w:rFonts w:asciiTheme="minorHAnsi" w:hAnsiTheme="minorHAnsi" w:cstheme="minorHAnsi"/>
          <w:sz w:val="22"/>
          <w:szCs w:val="22"/>
          <w:lang w:val="en-GB"/>
        </w:rPr>
        <w:t>saw</w:t>
      </w:r>
      <w:r w:rsidRPr="005C61AB">
        <w:rPr>
          <w:rFonts w:asciiTheme="minorHAnsi" w:hAnsiTheme="minorHAnsi" w:cstheme="minorHAnsi"/>
          <w:sz w:val="22"/>
          <w:szCs w:val="22"/>
          <w:lang w:val="en-GB"/>
        </w:rPr>
        <w:t xml:space="preserve"> violations of all </w:t>
      </w:r>
      <w:r w:rsidR="005C61AB" w:rsidRPr="005C61AB">
        <w:rPr>
          <w:rFonts w:asciiTheme="minorHAnsi" w:hAnsiTheme="minorHAnsi" w:cstheme="minorHAnsi"/>
          <w:sz w:val="22"/>
          <w:szCs w:val="22"/>
          <w:lang w:val="en-GB"/>
        </w:rPr>
        <w:t xml:space="preserve">applicable </w:t>
      </w:r>
      <w:r w:rsidRPr="005C61AB">
        <w:rPr>
          <w:rFonts w:asciiTheme="minorHAnsi" w:hAnsiTheme="minorHAnsi" w:cstheme="minorHAnsi"/>
          <w:sz w:val="22"/>
          <w:szCs w:val="22"/>
          <w:lang w:val="en-GB"/>
        </w:rPr>
        <w:t>laws in 557 cases.</w:t>
      </w:r>
    </w:p>
    <w:p w14:paraId="59598331" w14:textId="590D618D" w:rsidR="005C61AB" w:rsidRPr="005C61AB" w:rsidRDefault="005C61AB" w:rsidP="005C61AB">
      <w:pPr>
        <w:pStyle w:val="Bezmezer"/>
        <w:spacing w:before="120" w:after="120" w:line="276" w:lineRule="auto"/>
        <w:jc w:val="both"/>
        <w:rPr>
          <w:rFonts w:asciiTheme="minorHAnsi" w:hAnsiTheme="minorHAnsi" w:cstheme="minorHAnsi"/>
          <w:sz w:val="22"/>
          <w:szCs w:val="22"/>
          <w:lang w:val="en-GB"/>
        </w:rPr>
      </w:pPr>
      <w:r w:rsidRPr="005C61AB">
        <w:rPr>
          <w:rFonts w:asciiTheme="minorHAnsi" w:hAnsiTheme="minorHAnsi" w:cstheme="minorHAnsi"/>
          <w:sz w:val="22"/>
          <w:szCs w:val="22"/>
          <w:lang w:val="en-GB"/>
        </w:rPr>
        <w:t xml:space="preserve">In terms of </w:t>
      </w:r>
      <w:r w:rsidRPr="005C61AB">
        <w:rPr>
          <w:rFonts w:asciiTheme="minorHAnsi" w:hAnsiTheme="minorHAnsi" w:cstheme="minorHAnsi"/>
          <w:sz w:val="22"/>
          <w:szCs w:val="22"/>
          <w:lang w:val="en-GB"/>
        </w:rPr>
        <w:t xml:space="preserve">the </w:t>
      </w:r>
      <w:r w:rsidRPr="005C61AB">
        <w:rPr>
          <w:rFonts w:asciiTheme="minorHAnsi" w:hAnsiTheme="minorHAnsi" w:cstheme="minorHAnsi"/>
          <w:sz w:val="22"/>
          <w:szCs w:val="22"/>
          <w:lang w:val="en-GB"/>
        </w:rPr>
        <w:t>assortment, infringements of intellectual property rights in textile products and toys were the most common.</w:t>
      </w:r>
      <w:r w:rsidRPr="005C61AB">
        <w:rPr>
          <w:rFonts w:asciiTheme="minorHAnsi" w:hAnsiTheme="minorHAnsi" w:cstheme="minorHAnsi"/>
          <w:sz w:val="22"/>
          <w:szCs w:val="22"/>
          <w:lang w:val="en-GB"/>
        </w:rPr>
        <w:t xml:space="preserve"> The following trademarks dominated the total number of collected products:</w:t>
      </w:r>
      <w:r w:rsidRPr="005C61AB">
        <w:rPr>
          <w:rFonts w:asciiTheme="minorHAnsi" w:hAnsiTheme="minorHAnsi" w:cstheme="minorHAnsi"/>
          <w:sz w:val="22"/>
          <w:szCs w:val="22"/>
          <w:lang w:val="en-GB"/>
        </w:rPr>
        <w:t xml:space="preserve"> Pokémon, Apple, Tommy Hilfiger, Volkswagen, BMW, Nike, Adidas, Hyundai, Calvin Klein, </w:t>
      </w:r>
      <w:proofErr w:type="spellStart"/>
      <w:r w:rsidRPr="005C61AB">
        <w:rPr>
          <w:rFonts w:asciiTheme="minorHAnsi" w:hAnsiTheme="minorHAnsi" w:cstheme="minorHAnsi"/>
          <w:sz w:val="22"/>
          <w:szCs w:val="22"/>
          <w:lang w:val="en-GB"/>
        </w:rPr>
        <w:t>Myl</w:t>
      </w:r>
      <w:proofErr w:type="spellEnd"/>
      <w:r w:rsidRPr="005C61AB">
        <w:rPr>
          <w:rFonts w:asciiTheme="minorHAnsi" w:hAnsiTheme="minorHAnsi" w:cstheme="minorHAnsi"/>
          <w:sz w:val="22"/>
          <w:szCs w:val="22"/>
          <w:lang w:val="en-GB"/>
        </w:rPr>
        <w:t xml:space="preserve"> little pony and Gucci.</w:t>
      </w:r>
    </w:p>
    <w:p w14:paraId="5DF28CD1" w14:textId="21CA3D26" w:rsidR="005C61AB" w:rsidRPr="005C61AB" w:rsidRDefault="005C61AB" w:rsidP="005C61AB">
      <w:pPr>
        <w:pStyle w:val="Bezmezer"/>
        <w:spacing w:before="120" w:after="120" w:line="276" w:lineRule="auto"/>
        <w:jc w:val="both"/>
        <w:rPr>
          <w:rFonts w:asciiTheme="minorHAnsi" w:hAnsiTheme="minorHAnsi" w:cstheme="minorHAnsi"/>
          <w:sz w:val="22"/>
          <w:szCs w:val="22"/>
          <w:lang w:val="en-GB"/>
        </w:rPr>
      </w:pPr>
      <w:r w:rsidRPr="005C61AB">
        <w:rPr>
          <w:rFonts w:asciiTheme="minorHAnsi" w:hAnsiTheme="minorHAnsi" w:cstheme="minorHAnsi"/>
          <w:sz w:val="22"/>
          <w:szCs w:val="22"/>
          <w:lang w:val="en-GB"/>
        </w:rPr>
        <w:t>In 21 cases, i</w:t>
      </w:r>
      <w:r w:rsidRPr="005C61AB">
        <w:rPr>
          <w:rFonts w:asciiTheme="minorHAnsi" w:hAnsiTheme="minorHAnsi" w:cstheme="minorHAnsi"/>
          <w:sz w:val="22"/>
          <w:szCs w:val="22"/>
          <w:lang w:val="en-GB"/>
        </w:rPr>
        <w:t xml:space="preserve">nspections of compliance with the ban on the offer, sale and storage of counterfeit products </w:t>
      </w:r>
      <w:proofErr w:type="gramStart"/>
      <w:r w:rsidRPr="005C61AB">
        <w:rPr>
          <w:rFonts w:asciiTheme="minorHAnsi" w:hAnsiTheme="minorHAnsi" w:cstheme="minorHAnsi"/>
          <w:sz w:val="22"/>
          <w:szCs w:val="22"/>
          <w:lang w:val="en-GB"/>
        </w:rPr>
        <w:t>were held</w:t>
      </w:r>
      <w:proofErr w:type="gramEnd"/>
      <w:r w:rsidRPr="005C61AB">
        <w:rPr>
          <w:rFonts w:asciiTheme="minorHAnsi" w:hAnsiTheme="minorHAnsi" w:cstheme="minorHAnsi"/>
          <w:sz w:val="22"/>
          <w:szCs w:val="22"/>
          <w:lang w:val="en-GB"/>
        </w:rPr>
        <w:t xml:space="preserve"> in cooperation with the Police of the Czech Republic, the Customs Administration of the Czech Republic and trade licensing </w:t>
      </w:r>
      <w:r w:rsidRPr="005C61AB">
        <w:rPr>
          <w:rFonts w:asciiTheme="minorHAnsi" w:hAnsiTheme="minorHAnsi" w:cstheme="minorHAnsi"/>
          <w:sz w:val="22"/>
          <w:szCs w:val="22"/>
          <w:lang w:val="en-GB"/>
        </w:rPr>
        <w:t>offices</w:t>
      </w:r>
      <w:r w:rsidRPr="005C61AB">
        <w:rPr>
          <w:rFonts w:asciiTheme="minorHAnsi" w:hAnsiTheme="minorHAnsi" w:cstheme="minorHAnsi"/>
          <w:sz w:val="22"/>
          <w:szCs w:val="22"/>
          <w:lang w:val="en-GB"/>
        </w:rPr>
        <w:t>.</w:t>
      </w:r>
    </w:p>
    <w:p w14:paraId="360D9667" w14:textId="77777777" w:rsidR="00AF3AD6" w:rsidRPr="005C61AB" w:rsidRDefault="00AF3AD6" w:rsidP="00AF3AD6">
      <w:pPr>
        <w:jc w:val="both"/>
        <w:rPr>
          <w:rFonts w:asciiTheme="minorHAnsi" w:hAnsiTheme="minorHAnsi" w:cstheme="minorHAnsi"/>
          <w:sz w:val="22"/>
          <w:szCs w:val="22"/>
          <w:lang w:val="en-GB"/>
        </w:rPr>
      </w:pPr>
    </w:p>
    <w:tbl>
      <w:tblPr>
        <w:tblW w:w="9412" w:type="dxa"/>
        <w:tblCellMar>
          <w:left w:w="70" w:type="dxa"/>
          <w:right w:w="70" w:type="dxa"/>
        </w:tblCellMar>
        <w:tblLook w:val="04A0" w:firstRow="1" w:lastRow="0" w:firstColumn="1" w:lastColumn="0" w:noHBand="0" w:noVBand="1"/>
      </w:tblPr>
      <w:tblGrid>
        <w:gridCol w:w="3392"/>
        <w:gridCol w:w="1760"/>
        <w:gridCol w:w="1500"/>
        <w:gridCol w:w="700"/>
        <w:gridCol w:w="1227"/>
        <w:gridCol w:w="833"/>
      </w:tblGrid>
      <w:tr w:rsidR="00AF3AD6" w:rsidRPr="005C61AB" w14:paraId="312288D7" w14:textId="77777777" w:rsidTr="005C61AB">
        <w:trPr>
          <w:trHeight w:val="285"/>
        </w:trPr>
        <w:tc>
          <w:tcPr>
            <w:tcW w:w="3392" w:type="dxa"/>
            <w:vMerge w:val="restart"/>
            <w:tcBorders>
              <w:top w:val="single" w:sz="8" w:space="0" w:color="auto"/>
              <w:left w:val="single" w:sz="8" w:space="0" w:color="auto"/>
              <w:bottom w:val="double" w:sz="6" w:space="0" w:color="000000"/>
              <w:right w:val="single" w:sz="4" w:space="0" w:color="auto"/>
            </w:tcBorders>
            <w:shd w:val="clear" w:color="000000" w:fill="C5D9F1"/>
            <w:noWrap/>
            <w:vAlign w:val="center"/>
            <w:hideMark/>
          </w:tcPr>
          <w:p w14:paraId="424FB919" w14:textId="77777777" w:rsidR="00AF3AD6" w:rsidRPr="005C61AB" w:rsidRDefault="00AF3AD6" w:rsidP="00DC4B90">
            <w:pPr>
              <w:jc w:val="center"/>
              <w:rPr>
                <w:rFonts w:asciiTheme="minorHAnsi" w:hAnsiTheme="minorHAnsi" w:cstheme="minorHAnsi"/>
                <w:b/>
                <w:bCs/>
                <w:color w:val="000000"/>
                <w:sz w:val="22"/>
                <w:szCs w:val="22"/>
                <w:lang w:val="en-GB"/>
              </w:rPr>
            </w:pPr>
          </w:p>
        </w:tc>
        <w:tc>
          <w:tcPr>
            <w:tcW w:w="1760" w:type="dxa"/>
            <w:vMerge w:val="restart"/>
            <w:tcBorders>
              <w:top w:val="single" w:sz="8" w:space="0" w:color="auto"/>
              <w:left w:val="single" w:sz="4" w:space="0" w:color="auto"/>
              <w:bottom w:val="double" w:sz="6" w:space="0" w:color="000000"/>
              <w:right w:val="single" w:sz="4" w:space="0" w:color="auto"/>
            </w:tcBorders>
            <w:shd w:val="clear" w:color="000000" w:fill="C5D9F1"/>
            <w:noWrap/>
            <w:vAlign w:val="center"/>
            <w:hideMark/>
          </w:tcPr>
          <w:p w14:paraId="077CB918" w14:textId="026A56D5" w:rsidR="00AF3AD6" w:rsidRPr="005C61AB" w:rsidRDefault="005C61AB" w:rsidP="00DC4B90">
            <w:pPr>
              <w:jc w:val="center"/>
              <w:rPr>
                <w:rFonts w:asciiTheme="minorHAnsi" w:hAnsiTheme="minorHAnsi" w:cstheme="minorHAnsi"/>
                <w:b/>
                <w:bCs/>
                <w:color w:val="000000"/>
                <w:sz w:val="22"/>
                <w:szCs w:val="22"/>
                <w:lang w:val="en-GB"/>
              </w:rPr>
            </w:pPr>
            <w:r w:rsidRPr="005C61AB">
              <w:rPr>
                <w:rFonts w:asciiTheme="minorHAnsi" w:hAnsiTheme="minorHAnsi" w:cstheme="minorHAnsi"/>
                <w:b/>
                <w:bCs/>
                <w:color w:val="000000"/>
                <w:sz w:val="22"/>
                <w:szCs w:val="22"/>
                <w:lang w:val="en-GB"/>
              </w:rPr>
              <w:t>Number of inspections</w:t>
            </w:r>
          </w:p>
        </w:tc>
        <w:tc>
          <w:tcPr>
            <w:tcW w:w="2200" w:type="dxa"/>
            <w:gridSpan w:val="2"/>
            <w:tcBorders>
              <w:top w:val="single" w:sz="8" w:space="0" w:color="auto"/>
              <w:left w:val="nil"/>
              <w:bottom w:val="nil"/>
              <w:right w:val="single" w:sz="4" w:space="0" w:color="000000"/>
            </w:tcBorders>
            <w:shd w:val="clear" w:color="000000" w:fill="C5D9F1"/>
            <w:noWrap/>
            <w:vAlign w:val="center"/>
            <w:hideMark/>
          </w:tcPr>
          <w:p w14:paraId="56D58C5C" w14:textId="0B19E6D7" w:rsidR="00AF3AD6" w:rsidRPr="005C61AB" w:rsidRDefault="005C61AB" w:rsidP="00DC4B90">
            <w:pPr>
              <w:jc w:val="center"/>
              <w:rPr>
                <w:rFonts w:asciiTheme="minorHAnsi" w:hAnsiTheme="minorHAnsi" w:cstheme="minorHAnsi"/>
                <w:b/>
                <w:bCs/>
                <w:color w:val="000000"/>
                <w:sz w:val="22"/>
                <w:szCs w:val="22"/>
                <w:lang w:val="en-GB"/>
              </w:rPr>
            </w:pPr>
            <w:r w:rsidRPr="005C61AB">
              <w:rPr>
                <w:rFonts w:asciiTheme="minorHAnsi" w:hAnsiTheme="minorHAnsi" w:cstheme="minorHAnsi"/>
                <w:b/>
                <w:bCs/>
                <w:color w:val="000000"/>
                <w:sz w:val="22"/>
                <w:szCs w:val="22"/>
                <w:lang w:val="en-GB"/>
              </w:rPr>
              <w:t xml:space="preserve">Inspections with </w:t>
            </w:r>
            <w:proofErr w:type="spellStart"/>
            <w:r w:rsidRPr="005C61AB">
              <w:rPr>
                <w:rFonts w:asciiTheme="minorHAnsi" w:hAnsiTheme="minorHAnsi" w:cstheme="minorHAnsi"/>
                <w:b/>
                <w:bCs/>
                <w:color w:val="000000"/>
                <w:sz w:val="22"/>
                <w:szCs w:val="22"/>
                <w:lang w:val="en-GB"/>
              </w:rPr>
              <w:t>findigns</w:t>
            </w:r>
            <w:proofErr w:type="spellEnd"/>
          </w:p>
        </w:tc>
        <w:tc>
          <w:tcPr>
            <w:tcW w:w="2060" w:type="dxa"/>
            <w:gridSpan w:val="2"/>
            <w:tcBorders>
              <w:top w:val="single" w:sz="8" w:space="0" w:color="auto"/>
              <w:left w:val="nil"/>
              <w:bottom w:val="nil"/>
              <w:right w:val="single" w:sz="8" w:space="0" w:color="000000"/>
            </w:tcBorders>
            <w:shd w:val="clear" w:color="000000" w:fill="C5D9F1"/>
            <w:noWrap/>
            <w:vAlign w:val="center"/>
            <w:hideMark/>
          </w:tcPr>
          <w:p w14:paraId="59767991" w14:textId="3ADC28CF" w:rsidR="00AF3AD6" w:rsidRPr="005C61AB" w:rsidRDefault="005C61AB" w:rsidP="00DC4B90">
            <w:pPr>
              <w:jc w:val="center"/>
              <w:rPr>
                <w:rFonts w:asciiTheme="minorHAnsi" w:hAnsiTheme="minorHAnsi" w:cstheme="minorHAnsi"/>
                <w:b/>
                <w:bCs/>
                <w:color w:val="000000"/>
                <w:sz w:val="22"/>
                <w:szCs w:val="22"/>
                <w:lang w:val="en-GB"/>
              </w:rPr>
            </w:pPr>
            <w:r w:rsidRPr="005C61AB">
              <w:rPr>
                <w:rFonts w:asciiTheme="minorHAnsi" w:hAnsiTheme="minorHAnsi" w:cstheme="minorHAnsi"/>
                <w:b/>
                <w:bCs/>
                <w:color w:val="000000"/>
                <w:sz w:val="22"/>
                <w:szCs w:val="22"/>
                <w:lang w:val="en-GB"/>
              </w:rPr>
              <w:t>Findings in %</w:t>
            </w:r>
          </w:p>
        </w:tc>
      </w:tr>
      <w:tr w:rsidR="00AF3AD6" w:rsidRPr="005C61AB" w14:paraId="4CA81CED" w14:textId="77777777" w:rsidTr="005C61AB">
        <w:trPr>
          <w:trHeight w:val="300"/>
        </w:trPr>
        <w:tc>
          <w:tcPr>
            <w:tcW w:w="3392" w:type="dxa"/>
            <w:vMerge/>
            <w:tcBorders>
              <w:top w:val="single" w:sz="8" w:space="0" w:color="auto"/>
              <w:left w:val="single" w:sz="8" w:space="0" w:color="auto"/>
              <w:bottom w:val="double" w:sz="6" w:space="0" w:color="000000"/>
              <w:right w:val="single" w:sz="4" w:space="0" w:color="auto"/>
            </w:tcBorders>
            <w:vAlign w:val="center"/>
            <w:hideMark/>
          </w:tcPr>
          <w:p w14:paraId="14E87FCB" w14:textId="77777777" w:rsidR="00AF3AD6" w:rsidRPr="005C61AB" w:rsidRDefault="00AF3AD6" w:rsidP="00DC4B90">
            <w:pPr>
              <w:rPr>
                <w:rFonts w:asciiTheme="minorHAnsi" w:hAnsiTheme="minorHAnsi" w:cstheme="minorHAnsi"/>
                <w:b/>
                <w:bCs/>
                <w:color w:val="000000"/>
                <w:sz w:val="22"/>
                <w:szCs w:val="22"/>
                <w:lang w:val="en-GB"/>
              </w:rPr>
            </w:pPr>
          </w:p>
        </w:tc>
        <w:tc>
          <w:tcPr>
            <w:tcW w:w="1760" w:type="dxa"/>
            <w:vMerge/>
            <w:tcBorders>
              <w:top w:val="single" w:sz="8" w:space="0" w:color="auto"/>
              <w:left w:val="single" w:sz="4" w:space="0" w:color="auto"/>
              <w:bottom w:val="double" w:sz="6" w:space="0" w:color="000000"/>
              <w:right w:val="single" w:sz="4" w:space="0" w:color="auto"/>
            </w:tcBorders>
            <w:vAlign w:val="center"/>
            <w:hideMark/>
          </w:tcPr>
          <w:p w14:paraId="367B4080" w14:textId="77777777" w:rsidR="00AF3AD6" w:rsidRPr="005C61AB" w:rsidRDefault="00AF3AD6" w:rsidP="00DC4B90">
            <w:pPr>
              <w:rPr>
                <w:rFonts w:asciiTheme="minorHAnsi" w:hAnsiTheme="minorHAnsi" w:cstheme="minorHAnsi"/>
                <w:b/>
                <w:bCs/>
                <w:color w:val="000000"/>
                <w:sz w:val="22"/>
                <w:szCs w:val="22"/>
                <w:lang w:val="en-GB"/>
              </w:rPr>
            </w:pPr>
          </w:p>
        </w:tc>
        <w:tc>
          <w:tcPr>
            <w:tcW w:w="1500" w:type="dxa"/>
            <w:tcBorders>
              <w:top w:val="single" w:sz="4" w:space="0" w:color="auto"/>
              <w:left w:val="nil"/>
              <w:bottom w:val="double" w:sz="6" w:space="0" w:color="auto"/>
              <w:right w:val="nil"/>
            </w:tcBorders>
            <w:shd w:val="clear" w:color="000000" w:fill="C5D9F1"/>
            <w:noWrap/>
            <w:vAlign w:val="center"/>
            <w:hideMark/>
          </w:tcPr>
          <w:p w14:paraId="3166395B" w14:textId="6C7D7CB1" w:rsidR="00AF3AD6" w:rsidRPr="005C61AB" w:rsidRDefault="005C61AB" w:rsidP="00DC4B90">
            <w:pPr>
              <w:jc w:val="center"/>
              <w:rPr>
                <w:rFonts w:asciiTheme="minorHAnsi" w:hAnsiTheme="minorHAnsi" w:cstheme="minorHAnsi"/>
                <w:b/>
                <w:bCs/>
                <w:color w:val="000000"/>
                <w:sz w:val="22"/>
                <w:szCs w:val="22"/>
                <w:lang w:val="en-GB"/>
              </w:rPr>
            </w:pPr>
            <w:r w:rsidRPr="005C61AB">
              <w:rPr>
                <w:rFonts w:asciiTheme="minorHAnsi" w:hAnsiTheme="minorHAnsi" w:cstheme="minorHAnsi"/>
                <w:b/>
                <w:bCs/>
                <w:color w:val="000000"/>
                <w:sz w:val="22"/>
                <w:szCs w:val="22"/>
                <w:lang w:val="en-GB"/>
              </w:rPr>
              <w:t>Total</w:t>
            </w:r>
          </w:p>
        </w:tc>
        <w:tc>
          <w:tcPr>
            <w:tcW w:w="700" w:type="dxa"/>
            <w:tcBorders>
              <w:top w:val="single" w:sz="4" w:space="0" w:color="auto"/>
              <w:left w:val="single" w:sz="4" w:space="0" w:color="auto"/>
              <w:bottom w:val="double" w:sz="6" w:space="0" w:color="auto"/>
              <w:right w:val="nil"/>
            </w:tcBorders>
            <w:shd w:val="clear" w:color="000000" w:fill="C5D9F1"/>
            <w:noWrap/>
            <w:vAlign w:val="center"/>
            <w:hideMark/>
          </w:tcPr>
          <w:p w14:paraId="39B31D25" w14:textId="77777777" w:rsidR="00AF3AD6" w:rsidRPr="005C61AB" w:rsidRDefault="00AF3AD6" w:rsidP="00DC4B90">
            <w:pPr>
              <w:jc w:val="center"/>
              <w:rPr>
                <w:rFonts w:asciiTheme="minorHAnsi" w:hAnsiTheme="minorHAnsi" w:cstheme="minorHAnsi"/>
                <w:b/>
                <w:bCs/>
                <w:color w:val="000000"/>
                <w:sz w:val="22"/>
                <w:szCs w:val="22"/>
                <w:lang w:val="en-GB"/>
              </w:rPr>
            </w:pPr>
            <w:r w:rsidRPr="005C61AB">
              <w:rPr>
                <w:rFonts w:asciiTheme="minorHAnsi" w:hAnsiTheme="minorHAnsi" w:cstheme="minorHAnsi"/>
                <w:b/>
                <w:bCs/>
                <w:color w:val="000000"/>
                <w:sz w:val="22"/>
                <w:szCs w:val="22"/>
                <w:lang w:val="en-GB"/>
              </w:rPr>
              <w:t>§ 8</w:t>
            </w:r>
          </w:p>
        </w:tc>
        <w:tc>
          <w:tcPr>
            <w:tcW w:w="1227" w:type="dxa"/>
            <w:tcBorders>
              <w:top w:val="single" w:sz="4" w:space="0" w:color="auto"/>
              <w:left w:val="single" w:sz="4" w:space="0" w:color="auto"/>
              <w:bottom w:val="double" w:sz="6" w:space="0" w:color="auto"/>
              <w:right w:val="single" w:sz="8" w:space="0" w:color="auto"/>
            </w:tcBorders>
            <w:shd w:val="clear" w:color="000000" w:fill="C5D9F1"/>
            <w:noWrap/>
            <w:vAlign w:val="bottom"/>
            <w:hideMark/>
          </w:tcPr>
          <w:p w14:paraId="2771DA0D" w14:textId="25AFE351" w:rsidR="00AF3AD6" w:rsidRPr="005C61AB" w:rsidRDefault="005C61AB" w:rsidP="00DC4B90">
            <w:pPr>
              <w:jc w:val="center"/>
              <w:rPr>
                <w:rFonts w:asciiTheme="minorHAnsi" w:hAnsiTheme="minorHAnsi" w:cstheme="minorHAnsi"/>
                <w:b/>
                <w:bCs/>
                <w:color w:val="000000"/>
                <w:sz w:val="22"/>
                <w:szCs w:val="22"/>
                <w:lang w:val="en-GB"/>
              </w:rPr>
            </w:pPr>
            <w:r w:rsidRPr="005C61AB">
              <w:rPr>
                <w:rFonts w:asciiTheme="minorHAnsi" w:hAnsiTheme="minorHAnsi" w:cstheme="minorHAnsi"/>
                <w:b/>
                <w:bCs/>
                <w:color w:val="000000"/>
                <w:sz w:val="22"/>
                <w:szCs w:val="22"/>
                <w:lang w:val="en-GB"/>
              </w:rPr>
              <w:t>Total</w:t>
            </w:r>
          </w:p>
        </w:tc>
        <w:tc>
          <w:tcPr>
            <w:tcW w:w="833" w:type="dxa"/>
            <w:tcBorders>
              <w:top w:val="single" w:sz="4" w:space="0" w:color="auto"/>
              <w:left w:val="single" w:sz="4" w:space="0" w:color="auto"/>
              <w:bottom w:val="double" w:sz="6" w:space="0" w:color="auto"/>
              <w:right w:val="single" w:sz="8" w:space="0" w:color="auto"/>
            </w:tcBorders>
            <w:shd w:val="clear" w:color="000000" w:fill="C5D9F1"/>
            <w:noWrap/>
            <w:vAlign w:val="center"/>
            <w:hideMark/>
          </w:tcPr>
          <w:p w14:paraId="55C6F4BF" w14:textId="77777777" w:rsidR="00AF3AD6" w:rsidRPr="005C61AB" w:rsidRDefault="00AF3AD6" w:rsidP="00DC4B90">
            <w:pPr>
              <w:jc w:val="center"/>
              <w:rPr>
                <w:rFonts w:asciiTheme="minorHAnsi" w:hAnsiTheme="minorHAnsi" w:cstheme="minorHAnsi"/>
                <w:b/>
                <w:bCs/>
                <w:color w:val="000000"/>
                <w:sz w:val="22"/>
                <w:szCs w:val="22"/>
                <w:lang w:val="en-GB"/>
              </w:rPr>
            </w:pPr>
            <w:r w:rsidRPr="005C61AB">
              <w:rPr>
                <w:rFonts w:asciiTheme="minorHAnsi" w:hAnsiTheme="minorHAnsi" w:cstheme="minorHAnsi"/>
                <w:b/>
                <w:bCs/>
                <w:color w:val="000000"/>
                <w:sz w:val="22"/>
                <w:szCs w:val="22"/>
                <w:lang w:val="en-GB"/>
              </w:rPr>
              <w:t>§ 8</w:t>
            </w:r>
          </w:p>
        </w:tc>
      </w:tr>
      <w:tr w:rsidR="00AF3AD6" w:rsidRPr="005C61AB" w14:paraId="2DCA0F3C" w14:textId="77777777" w:rsidTr="005C61AB">
        <w:trPr>
          <w:trHeight w:val="300"/>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686A8C42" w14:textId="3E3B80DD" w:rsidR="00AF3AD6" w:rsidRPr="005C61AB" w:rsidRDefault="00AF3AD6" w:rsidP="005C61AB">
            <w:pPr>
              <w:ind w:firstLineChars="100" w:firstLine="220"/>
              <w:jc w:val="right"/>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 xml:space="preserve">Středočeský </w:t>
            </w:r>
            <w:r w:rsidR="005C61AB" w:rsidRPr="005C61AB">
              <w:rPr>
                <w:rFonts w:asciiTheme="minorHAnsi" w:hAnsiTheme="minorHAnsi" w:cstheme="minorHAnsi"/>
                <w:color w:val="000000"/>
                <w:sz w:val="22"/>
                <w:szCs w:val="22"/>
                <w:lang w:val="en-GB"/>
              </w:rPr>
              <w:t>and Prague</w:t>
            </w:r>
          </w:p>
        </w:tc>
        <w:tc>
          <w:tcPr>
            <w:tcW w:w="1760" w:type="dxa"/>
            <w:tcBorders>
              <w:top w:val="nil"/>
              <w:left w:val="nil"/>
              <w:bottom w:val="single" w:sz="4" w:space="0" w:color="auto"/>
              <w:right w:val="single" w:sz="4" w:space="0" w:color="auto"/>
            </w:tcBorders>
            <w:shd w:val="clear" w:color="000000" w:fill="DCE6F1"/>
            <w:noWrap/>
            <w:vAlign w:val="center"/>
            <w:hideMark/>
          </w:tcPr>
          <w:p w14:paraId="5A93A9D9"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44</w:t>
            </w:r>
          </w:p>
        </w:tc>
        <w:tc>
          <w:tcPr>
            <w:tcW w:w="1500" w:type="dxa"/>
            <w:tcBorders>
              <w:top w:val="nil"/>
              <w:left w:val="nil"/>
              <w:bottom w:val="single" w:sz="4" w:space="0" w:color="auto"/>
              <w:right w:val="nil"/>
            </w:tcBorders>
            <w:shd w:val="clear" w:color="000000" w:fill="DCE6F1"/>
            <w:noWrap/>
            <w:vAlign w:val="center"/>
            <w:hideMark/>
          </w:tcPr>
          <w:p w14:paraId="6DE7DCEB"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34</w:t>
            </w:r>
          </w:p>
        </w:tc>
        <w:tc>
          <w:tcPr>
            <w:tcW w:w="700" w:type="dxa"/>
            <w:tcBorders>
              <w:top w:val="nil"/>
              <w:left w:val="single" w:sz="4" w:space="0" w:color="auto"/>
              <w:bottom w:val="single" w:sz="4" w:space="0" w:color="auto"/>
              <w:right w:val="nil"/>
            </w:tcBorders>
            <w:shd w:val="clear" w:color="000000" w:fill="DCE6F1"/>
            <w:noWrap/>
            <w:vAlign w:val="center"/>
            <w:hideMark/>
          </w:tcPr>
          <w:p w14:paraId="73132392"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25</w:t>
            </w:r>
          </w:p>
        </w:tc>
        <w:tc>
          <w:tcPr>
            <w:tcW w:w="1227" w:type="dxa"/>
            <w:tcBorders>
              <w:top w:val="nil"/>
              <w:left w:val="single" w:sz="4" w:space="0" w:color="auto"/>
              <w:bottom w:val="single" w:sz="4" w:space="0" w:color="auto"/>
              <w:right w:val="nil"/>
            </w:tcBorders>
            <w:shd w:val="clear" w:color="000000" w:fill="DCE6F1"/>
            <w:noWrap/>
            <w:vAlign w:val="center"/>
            <w:hideMark/>
          </w:tcPr>
          <w:p w14:paraId="40489026"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77,3%</w:t>
            </w:r>
          </w:p>
        </w:tc>
        <w:tc>
          <w:tcPr>
            <w:tcW w:w="833" w:type="dxa"/>
            <w:tcBorders>
              <w:top w:val="nil"/>
              <w:left w:val="single" w:sz="4" w:space="0" w:color="auto"/>
              <w:bottom w:val="single" w:sz="4" w:space="0" w:color="auto"/>
              <w:right w:val="single" w:sz="8" w:space="0" w:color="auto"/>
            </w:tcBorders>
            <w:shd w:val="clear" w:color="000000" w:fill="DCE6F1"/>
            <w:noWrap/>
            <w:vAlign w:val="center"/>
            <w:hideMark/>
          </w:tcPr>
          <w:p w14:paraId="3ACEE23D"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56,8%</w:t>
            </w:r>
          </w:p>
        </w:tc>
      </w:tr>
      <w:tr w:rsidR="00AF3AD6" w:rsidRPr="005C61AB" w14:paraId="2E0E6D9B" w14:textId="77777777" w:rsidTr="005C61AB">
        <w:trPr>
          <w:trHeight w:val="285"/>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3BB738CE" w14:textId="15EF0AC5" w:rsidR="00AF3AD6" w:rsidRPr="005C61AB" w:rsidRDefault="00AF3AD6" w:rsidP="00DC4B90">
            <w:pPr>
              <w:ind w:firstLineChars="100" w:firstLine="220"/>
              <w:jc w:val="right"/>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Jihočeský a</w:t>
            </w:r>
            <w:r w:rsidR="005C61AB" w:rsidRPr="005C61AB">
              <w:rPr>
                <w:rFonts w:asciiTheme="minorHAnsi" w:hAnsiTheme="minorHAnsi" w:cstheme="minorHAnsi"/>
                <w:color w:val="000000"/>
                <w:sz w:val="22"/>
                <w:szCs w:val="22"/>
                <w:lang w:val="en-GB"/>
              </w:rPr>
              <w:t>nd</w:t>
            </w:r>
            <w:r w:rsidRPr="005C61AB">
              <w:rPr>
                <w:rFonts w:asciiTheme="minorHAnsi" w:hAnsiTheme="minorHAnsi" w:cstheme="minorHAnsi"/>
                <w:color w:val="000000"/>
                <w:sz w:val="22"/>
                <w:szCs w:val="22"/>
                <w:lang w:val="en-GB"/>
              </w:rPr>
              <w:t xml:space="preserve"> Vysočina</w:t>
            </w:r>
          </w:p>
        </w:tc>
        <w:tc>
          <w:tcPr>
            <w:tcW w:w="1760" w:type="dxa"/>
            <w:tcBorders>
              <w:top w:val="nil"/>
              <w:left w:val="nil"/>
              <w:bottom w:val="single" w:sz="4" w:space="0" w:color="auto"/>
              <w:right w:val="single" w:sz="4" w:space="0" w:color="auto"/>
            </w:tcBorders>
            <w:shd w:val="clear" w:color="000000" w:fill="DCE6F1"/>
            <w:noWrap/>
            <w:vAlign w:val="center"/>
            <w:hideMark/>
          </w:tcPr>
          <w:p w14:paraId="7F0AFFAA"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83</w:t>
            </w:r>
          </w:p>
        </w:tc>
        <w:tc>
          <w:tcPr>
            <w:tcW w:w="1500" w:type="dxa"/>
            <w:tcBorders>
              <w:top w:val="nil"/>
              <w:left w:val="nil"/>
              <w:bottom w:val="single" w:sz="4" w:space="0" w:color="auto"/>
              <w:right w:val="nil"/>
            </w:tcBorders>
            <w:shd w:val="clear" w:color="000000" w:fill="DCE6F1"/>
            <w:noWrap/>
            <w:vAlign w:val="center"/>
            <w:hideMark/>
          </w:tcPr>
          <w:p w14:paraId="63FF0BE0"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51</w:t>
            </w:r>
          </w:p>
        </w:tc>
        <w:tc>
          <w:tcPr>
            <w:tcW w:w="700" w:type="dxa"/>
            <w:tcBorders>
              <w:top w:val="nil"/>
              <w:left w:val="single" w:sz="4" w:space="0" w:color="auto"/>
              <w:bottom w:val="single" w:sz="4" w:space="0" w:color="auto"/>
              <w:right w:val="nil"/>
            </w:tcBorders>
            <w:shd w:val="clear" w:color="000000" w:fill="DAEEF3"/>
            <w:noWrap/>
            <w:vAlign w:val="center"/>
            <w:hideMark/>
          </w:tcPr>
          <w:p w14:paraId="4A77789A"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12</w:t>
            </w:r>
          </w:p>
        </w:tc>
        <w:tc>
          <w:tcPr>
            <w:tcW w:w="1227" w:type="dxa"/>
            <w:tcBorders>
              <w:top w:val="nil"/>
              <w:left w:val="single" w:sz="4" w:space="0" w:color="auto"/>
              <w:bottom w:val="single" w:sz="4" w:space="0" w:color="auto"/>
              <w:right w:val="nil"/>
            </w:tcBorders>
            <w:shd w:val="clear" w:color="000000" w:fill="DAEEF3"/>
            <w:noWrap/>
            <w:vAlign w:val="center"/>
            <w:hideMark/>
          </w:tcPr>
          <w:p w14:paraId="645A78D2"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61,5%</w:t>
            </w:r>
          </w:p>
        </w:tc>
        <w:tc>
          <w:tcPr>
            <w:tcW w:w="833" w:type="dxa"/>
            <w:tcBorders>
              <w:top w:val="nil"/>
              <w:left w:val="single" w:sz="4" w:space="0" w:color="auto"/>
              <w:bottom w:val="single" w:sz="4" w:space="0" w:color="auto"/>
              <w:right w:val="single" w:sz="8" w:space="0" w:color="auto"/>
            </w:tcBorders>
            <w:shd w:val="clear" w:color="000000" w:fill="DAEEF3"/>
            <w:noWrap/>
            <w:vAlign w:val="center"/>
            <w:hideMark/>
          </w:tcPr>
          <w:p w14:paraId="7DD9F810"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14,5%</w:t>
            </w:r>
          </w:p>
        </w:tc>
      </w:tr>
      <w:tr w:rsidR="00AF3AD6" w:rsidRPr="005C61AB" w14:paraId="1A28D085" w14:textId="77777777" w:rsidTr="005C61AB">
        <w:trPr>
          <w:trHeight w:val="285"/>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7A8FAD72" w14:textId="65E39290" w:rsidR="00AF3AD6" w:rsidRPr="005C61AB" w:rsidRDefault="00AF3AD6" w:rsidP="00DC4B90">
            <w:pPr>
              <w:ind w:firstLineChars="100" w:firstLine="220"/>
              <w:jc w:val="right"/>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Plzeňský a</w:t>
            </w:r>
            <w:r w:rsidR="005C61AB" w:rsidRPr="005C61AB">
              <w:rPr>
                <w:rFonts w:asciiTheme="minorHAnsi" w:hAnsiTheme="minorHAnsi" w:cstheme="minorHAnsi"/>
                <w:color w:val="000000"/>
                <w:sz w:val="22"/>
                <w:szCs w:val="22"/>
                <w:lang w:val="en-GB"/>
              </w:rPr>
              <w:t>nd</w:t>
            </w:r>
            <w:r w:rsidRPr="005C61AB">
              <w:rPr>
                <w:rFonts w:asciiTheme="minorHAnsi" w:hAnsiTheme="minorHAnsi" w:cstheme="minorHAnsi"/>
                <w:color w:val="000000"/>
                <w:sz w:val="22"/>
                <w:szCs w:val="22"/>
                <w:lang w:val="en-GB"/>
              </w:rPr>
              <w:t xml:space="preserve"> Karlovarský</w:t>
            </w:r>
          </w:p>
        </w:tc>
        <w:tc>
          <w:tcPr>
            <w:tcW w:w="1760" w:type="dxa"/>
            <w:tcBorders>
              <w:top w:val="nil"/>
              <w:left w:val="nil"/>
              <w:bottom w:val="single" w:sz="4" w:space="0" w:color="auto"/>
              <w:right w:val="single" w:sz="4" w:space="0" w:color="auto"/>
            </w:tcBorders>
            <w:shd w:val="clear" w:color="000000" w:fill="DCE6F1"/>
            <w:noWrap/>
            <w:vAlign w:val="center"/>
            <w:hideMark/>
          </w:tcPr>
          <w:p w14:paraId="74FDDBF5"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274</w:t>
            </w:r>
          </w:p>
        </w:tc>
        <w:tc>
          <w:tcPr>
            <w:tcW w:w="1500" w:type="dxa"/>
            <w:tcBorders>
              <w:top w:val="nil"/>
              <w:left w:val="nil"/>
              <w:bottom w:val="single" w:sz="4" w:space="0" w:color="auto"/>
              <w:right w:val="nil"/>
            </w:tcBorders>
            <w:shd w:val="clear" w:color="000000" w:fill="DCE6F1"/>
            <w:noWrap/>
            <w:vAlign w:val="center"/>
            <w:hideMark/>
          </w:tcPr>
          <w:p w14:paraId="49EC356C"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210</w:t>
            </w:r>
          </w:p>
        </w:tc>
        <w:tc>
          <w:tcPr>
            <w:tcW w:w="700" w:type="dxa"/>
            <w:tcBorders>
              <w:top w:val="nil"/>
              <w:left w:val="single" w:sz="4" w:space="0" w:color="auto"/>
              <w:bottom w:val="single" w:sz="4" w:space="0" w:color="auto"/>
              <w:right w:val="nil"/>
            </w:tcBorders>
            <w:shd w:val="clear" w:color="000000" w:fill="DCE6F1"/>
            <w:noWrap/>
            <w:vAlign w:val="center"/>
            <w:hideMark/>
          </w:tcPr>
          <w:p w14:paraId="05CA4DF9"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58</w:t>
            </w:r>
          </w:p>
        </w:tc>
        <w:tc>
          <w:tcPr>
            <w:tcW w:w="1227" w:type="dxa"/>
            <w:tcBorders>
              <w:top w:val="nil"/>
              <w:left w:val="single" w:sz="4" w:space="0" w:color="auto"/>
              <w:bottom w:val="single" w:sz="4" w:space="0" w:color="auto"/>
              <w:right w:val="nil"/>
            </w:tcBorders>
            <w:shd w:val="clear" w:color="000000" w:fill="DCE6F1"/>
            <w:noWrap/>
            <w:vAlign w:val="center"/>
            <w:hideMark/>
          </w:tcPr>
          <w:p w14:paraId="3D1E05DA"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76,6%</w:t>
            </w:r>
          </w:p>
        </w:tc>
        <w:tc>
          <w:tcPr>
            <w:tcW w:w="833" w:type="dxa"/>
            <w:tcBorders>
              <w:top w:val="nil"/>
              <w:left w:val="single" w:sz="4" w:space="0" w:color="auto"/>
              <w:bottom w:val="single" w:sz="4" w:space="0" w:color="auto"/>
              <w:right w:val="single" w:sz="8" w:space="0" w:color="auto"/>
            </w:tcBorders>
            <w:shd w:val="clear" w:color="000000" w:fill="DCE6F1"/>
            <w:noWrap/>
            <w:vAlign w:val="center"/>
            <w:hideMark/>
          </w:tcPr>
          <w:p w14:paraId="43D33F1B"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21,2%</w:t>
            </w:r>
          </w:p>
        </w:tc>
      </w:tr>
      <w:tr w:rsidR="00AF3AD6" w:rsidRPr="005C61AB" w14:paraId="47A1C9F3" w14:textId="77777777" w:rsidTr="005C61AB">
        <w:trPr>
          <w:trHeight w:val="285"/>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2AD42C66" w14:textId="0862482A" w:rsidR="00AF3AD6" w:rsidRPr="005C61AB" w:rsidRDefault="00AF3AD6" w:rsidP="00DC4B90">
            <w:pPr>
              <w:ind w:firstLineChars="100" w:firstLine="220"/>
              <w:jc w:val="right"/>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Ústecký a</w:t>
            </w:r>
            <w:r w:rsidR="005C61AB" w:rsidRPr="005C61AB">
              <w:rPr>
                <w:rFonts w:asciiTheme="minorHAnsi" w:hAnsiTheme="minorHAnsi" w:cstheme="minorHAnsi"/>
                <w:color w:val="000000"/>
                <w:sz w:val="22"/>
                <w:szCs w:val="22"/>
                <w:lang w:val="en-GB"/>
              </w:rPr>
              <w:t>nd</w:t>
            </w:r>
            <w:r w:rsidRPr="005C61AB">
              <w:rPr>
                <w:rFonts w:asciiTheme="minorHAnsi" w:hAnsiTheme="minorHAnsi" w:cstheme="minorHAnsi"/>
                <w:color w:val="000000"/>
                <w:sz w:val="22"/>
                <w:szCs w:val="22"/>
                <w:lang w:val="en-GB"/>
              </w:rPr>
              <w:t xml:space="preserve"> Liberecký</w:t>
            </w:r>
          </w:p>
        </w:tc>
        <w:tc>
          <w:tcPr>
            <w:tcW w:w="1760" w:type="dxa"/>
            <w:tcBorders>
              <w:top w:val="nil"/>
              <w:left w:val="nil"/>
              <w:bottom w:val="single" w:sz="4" w:space="0" w:color="auto"/>
              <w:right w:val="single" w:sz="4" w:space="0" w:color="auto"/>
            </w:tcBorders>
            <w:shd w:val="clear" w:color="000000" w:fill="DCE6F1"/>
            <w:noWrap/>
            <w:vAlign w:val="center"/>
            <w:hideMark/>
          </w:tcPr>
          <w:p w14:paraId="28B813BB"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220</w:t>
            </w:r>
          </w:p>
        </w:tc>
        <w:tc>
          <w:tcPr>
            <w:tcW w:w="1500" w:type="dxa"/>
            <w:tcBorders>
              <w:top w:val="nil"/>
              <w:left w:val="nil"/>
              <w:bottom w:val="single" w:sz="4" w:space="0" w:color="auto"/>
              <w:right w:val="nil"/>
            </w:tcBorders>
            <w:shd w:val="clear" w:color="000000" w:fill="DCE6F1"/>
            <w:noWrap/>
            <w:vAlign w:val="center"/>
            <w:hideMark/>
          </w:tcPr>
          <w:p w14:paraId="38D9BC22"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137</w:t>
            </w:r>
          </w:p>
        </w:tc>
        <w:tc>
          <w:tcPr>
            <w:tcW w:w="700" w:type="dxa"/>
            <w:tcBorders>
              <w:top w:val="nil"/>
              <w:left w:val="single" w:sz="4" w:space="0" w:color="auto"/>
              <w:bottom w:val="single" w:sz="4" w:space="0" w:color="auto"/>
              <w:right w:val="nil"/>
            </w:tcBorders>
            <w:shd w:val="clear" w:color="000000" w:fill="DAEEF3"/>
            <w:noWrap/>
            <w:vAlign w:val="center"/>
            <w:hideMark/>
          </w:tcPr>
          <w:p w14:paraId="14133DF8"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62</w:t>
            </w:r>
          </w:p>
        </w:tc>
        <w:tc>
          <w:tcPr>
            <w:tcW w:w="1227" w:type="dxa"/>
            <w:tcBorders>
              <w:top w:val="nil"/>
              <w:left w:val="single" w:sz="4" w:space="0" w:color="auto"/>
              <w:bottom w:val="single" w:sz="4" w:space="0" w:color="auto"/>
              <w:right w:val="nil"/>
            </w:tcBorders>
            <w:shd w:val="clear" w:color="000000" w:fill="DAEEF3"/>
            <w:noWrap/>
            <w:vAlign w:val="center"/>
            <w:hideMark/>
          </w:tcPr>
          <w:p w14:paraId="413D0FDC"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62,3%</w:t>
            </w:r>
          </w:p>
        </w:tc>
        <w:tc>
          <w:tcPr>
            <w:tcW w:w="833" w:type="dxa"/>
            <w:tcBorders>
              <w:top w:val="nil"/>
              <w:left w:val="single" w:sz="4" w:space="0" w:color="auto"/>
              <w:bottom w:val="single" w:sz="4" w:space="0" w:color="auto"/>
              <w:right w:val="single" w:sz="8" w:space="0" w:color="auto"/>
            </w:tcBorders>
            <w:shd w:val="clear" w:color="000000" w:fill="DAEEF3"/>
            <w:noWrap/>
            <w:vAlign w:val="center"/>
            <w:hideMark/>
          </w:tcPr>
          <w:p w14:paraId="5E9650AC"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28,2%</w:t>
            </w:r>
          </w:p>
        </w:tc>
      </w:tr>
      <w:tr w:rsidR="00AF3AD6" w:rsidRPr="005C61AB" w14:paraId="61A6F2FA" w14:textId="77777777" w:rsidTr="005C61AB">
        <w:trPr>
          <w:trHeight w:val="285"/>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24CD4599" w14:textId="1F88C6CC" w:rsidR="00AF3AD6" w:rsidRPr="005C61AB" w:rsidRDefault="00AF3AD6" w:rsidP="00DC4B90">
            <w:pPr>
              <w:ind w:firstLineChars="100" w:firstLine="220"/>
              <w:jc w:val="right"/>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Královéhradecký a</w:t>
            </w:r>
            <w:r w:rsidR="005C61AB" w:rsidRPr="005C61AB">
              <w:rPr>
                <w:rFonts w:asciiTheme="minorHAnsi" w:hAnsiTheme="minorHAnsi" w:cstheme="minorHAnsi"/>
                <w:color w:val="000000"/>
                <w:sz w:val="22"/>
                <w:szCs w:val="22"/>
                <w:lang w:val="en-GB"/>
              </w:rPr>
              <w:t>nd</w:t>
            </w:r>
            <w:r w:rsidRPr="005C61AB">
              <w:rPr>
                <w:rFonts w:asciiTheme="minorHAnsi" w:hAnsiTheme="minorHAnsi" w:cstheme="minorHAnsi"/>
                <w:color w:val="000000"/>
                <w:sz w:val="22"/>
                <w:szCs w:val="22"/>
                <w:lang w:val="en-GB"/>
              </w:rPr>
              <w:t xml:space="preserve"> Pardubický</w:t>
            </w:r>
          </w:p>
        </w:tc>
        <w:tc>
          <w:tcPr>
            <w:tcW w:w="1760" w:type="dxa"/>
            <w:tcBorders>
              <w:top w:val="nil"/>
              <w:left w:val="nil"/>
              <w:bottom w:val="single" w:sz="4" w:space="0" w:color="auto"/>
              <w:right w:val="single" w:sz="4" w:space="0" w:color="auto"/>
            </w:tcBorders>
            <w:shd w:val="clear" w:color="000000" w:fill="DCE6F1"/>
            <w:noWrap/>
            <w:vAlign w:val="center"/>
            <w:hideMark/>
          </w:tcPr>
          <w:p w14:paraId="71F3BBA5"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63</w:t>
            </w:r>
          </w:p>
        </w:tc>
        <w:tc>
          <w:tcPr>
            <w:tcW w:w="1500" w:type="dxa"/>
            <w:tcBorders>
              <w:top w:val="nil"/>
              <w:left w:val="nil"/>
              <w:bottom w:val="single" w:sz="4" w:space="0" w:color="auto"/>
              <w:right w:val="nil"/>
            </w:tcBorders>
            <w:shd w:val="clear" w:color="000000" w:fill="DCE6F1"/>
            <w:noWrap/>
            <w:vAlign w:val="center"/>
            <w:hideMark/>
          </w:tcPr>
          <w:p w14:paraId="2E72AA92"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49</w:t>
            </w:r>
          </w:p>
        </w:tc>
        <w:tc>
          <w:tcPr>
            <w:tcW w:w="700" w:type="dxa"/>
            <w:tcBorders>
              <w:top w:val="nil"/>
              <w:left w:val="single" w:sz="4" w:space="0" w:color="auto"/>
              <w:bottom w:val="single" w:sz="4" w:space="0" w:color="auto"/>
              <w:right w:val="nil"/>
            </w:tcBorders>
            <w:shd w:val="clear" w:color="000000" w:fill="DCE6F1"/>
            <w:noWrap/>
            <w:vAlign w:val="center"/>
            <w:hideMark/>
          </w:tcPr>
          <w:p w14:paraId="00065FCF"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19</w:t>
            </w:r>
          </w:p>
        </w:tc>
        <w:tc>
          <w:tcPr>
            <w:tcW w:w="1227" w:type="dxa"/>
            <w:tcBorders>
              <w:top w:val="nil"/>
              <w:left w:val="single" w:sz="4" w:space="0" w:color="auto"/>
              <w:bottom w:val="single" w:sz="4" w:space="0" w:color="auto"/>
              <w:right w:val="nil"/>
            </w:tcBorders>
            <w:shd w:val="clear" w:color="000000" w:fill="DCE6F1"/>
            <w:noWrap/>
            <w:vAlign w:val="center"/>
            <w:hideMark/>
          </w:tcPr>
          <w:p w14:paraId="0F964798"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77,8%</w:t>
            </w:r>
          </w:p>
        </w:tc>
        <w:tc>
          <w:tcPr>
            <w:tcW w:w="833" w:type="dxa"/>
            <w:tcBorders>
              <w:top w:val="nil"/>
              <w:left w:val="single" w:sz="4" w:space="0" w:color="auto"/>
              <w:bottom w:val="single" w:sz="4" w:space="0" w:color="auto"/>
              <w:right w:val="single" w:sz="8" w:space="0" w:color="auto"/>
            </w:tcBorders>
            <w:shd w:val="clear" w:color="000000" w:fill="DCE6F1"/>
            <w:noWrap/>
            <w:vAlign w:val="center"/>
            <w:hideMark/>
          </w:tcPr>
          <w:p w14:paraId="134538F6"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30,2%</w:t>
            </w:r>
          </w:p>
        </w:tc>
      </w:tr>
      <w:tr w:rsidR="00AF3AD6" w:rsidRPr="005C61AB" w14:paraId="1BB6CA74" w14:textId="77777777" w:rsidTr="005C61AB">
        <w:trPr>
          <w:trHeight w:val="285"/>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5CC43EA6" w14:textId="60A46562" w:rsidR="00AF3AD6" w:rsidRPr="005C61AB" w:rsidRDefault="00AF3AD6" w:rsidP="00DC4B90">
            <w:pPr>
              <w:ind w:firstLineChars="100" w:firstLine="220"/>
              <w:jc w:val="right"/>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Jihomoravský a</w:t>
            </w:r>
            <w:r w:rsidR="005C61AB" w:rsidRPr="005C61AB">
              <w:rPr>
                <w:rFonts w:asciiTheme="minorHAnsi" w:hAnsiTheme="minorHAnsi" w:cstheme="minorHAnsi"/>
                <w:color w:val="000000"/>
                <w:sz w:val="22"/>
                <w:szCs w:val="22"/>
                <w:lang w:val="en-GB"/>
              </w:rPr>
              <w:t>nd</w:t>
            </w:r>
            <w:r w:rsidRPr="005C61AB">
              <w:rPr>
                <w:rFonts w:asciiTheme="minorHAnsi" w:hAnsiTheme="minorHAnsi" w:cstheme="minorHAnsi"/>
                <w:color w:val="000000"/>
                <w:sz w:val="22"/>
                <w:szCs w:val="22"/>
                <w:lang w:val="en-GB"/>
              </w:rPr>
              <w:t xml:space="preserve"> Zlínský</w:t>
            </w:r>
          </w:p>
        </w:tc>
        <w:tc>
          <w:tcPr>
            <w:tcW w:w="1760" w:type="dxa"/>
            <w:tcBorders>
              <w:top w:val="nil"/>
              <w:left w:val="nil"/>
              <w:bottom w:val="single" w:sz="4" w:space="0" w:color="auto"/>
              <w:right w:val="single" w:sz="4" w:space="0" w:color="auto"/>
            </w:tcBorders>
            <w:shd w:val="clear" w:color="000000" w:fill="DCE6F1"/>
            <w:noWrap/>
            <w:vAlign w:val="center"/>
            <w:hideMark/>
          </w:tcPr>
          <w:p w14:paraId="6FA44829"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17</w:t>
            </w:r>
          </w:p>
        </w:tc>
        <w:tc>
          <w:tcPr>
            <w:tcW w:w="1500" w:type="dxa"/>
            <w:tcBorders>
              <w:top w:val="nil"/>
              <w:left w:val="nil"/>
              <w:bottom w:val="single" w:sz="4" w:space="0" w:color="auto"/>
              <w:right w:val="nil"/>
            </w:tcBorders>
            <w:shd w:val="clear" w:color="000000" w:fill="DCE6F1"/>
            <w:noWrap/>
            <w:vAlign w:val="center"/>
            <w:hideMark/>
          </w:tcPr>
          <w:p w14:paraId="0C712F47"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16</w:t>
            </w:r>
          </w:p>
        </w:tc>
        <w:tc>
          <w:tcPr>
            <w:tcW w:w="700" w:type="dxa"/>
            <w:tcBorders>
              <w:top w:val="nil"/>
              <w:left w:val="single" w:sz="4" w:space="0" w:color="auto"/>
              <w:bottom w:val="single" w:sz="4" w:space="0" w:color="auto"/>
              <w:right w:val="nil"/>
            </w:tcBorders>
            <w:shd w:val="clear" w:color="000000" w:fill="DAEEF3"/>
            <w:noWrap/>
            <w:vAlign w:val="center"/>
            <w:hideMark/>
          </w:tcPr>
          <w:p w14:paraId="6D2F7D4C"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12</w:t>
            </w:r>
          </w:p>
        </w:tc>
        <w:tc>
          <w:tcPr>
            <w:tcW w:w="1227" w:type="dxa"/>
            <w:tcBorders>
              <w:top w:val="nil"/>
              <w:left w:val="single" w:sz="4" w:space="0" w:color="auto"/>
              <w:bottom w:val="single" w:sz="4" w:space="0" w:color="auto"/>
              <w:right w:val="nil"/>
            </w:tcBorders>
            <w:shd w:val="clear" w:color="000000" w:fill="DAEEF3"/>
            <w:noWrap/>
            <w:vAlign w:val="center"/>
            <w:hideMark/>
          </w:tcPr>
          <w:p w14:paraId="51E6C9E4"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94,1%</w:t>
            </w:r>
          </w:p>
        </w:tc>
        <w:tc>
          <w:tcPr>
            <w:tcW w:w="833" w:type="dxa"/>
            <w:tcBorders>
              <w:top w:val="nil"/>
              <w:left w:val="single" w:sz="4" w:space="0" w:color="auto"/>
              <w:bottom w:val="single" w:sz="4" w:space="0" w:color="auto"/>
              <w:right w:val="single" w:sz="8" w:space="0" w:color="auto"/>
            </w:tcBorders>
            <w:shd w:val="clear" w:color="000000" w:fill="DAEEF3"/>
            <w:noWrap/>
            <w:vAlign w:val="center"/>
            <w:hideMark/>
          </w:tcPr>
          <w:p w14:paraId="1DDBFE48"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70,6%</w:t>
            </w:r>
          </w:p>
        </w:tc>
      </w:tr>
      <w:tr w:rsidR="00AF3AD6" w:rsidRPr="005C61AB" w14:paraId="77DFAFB2" w14:textId="77777777" w:rsidTr="005C61AB">
        <w:trPr>
          <w:trHeight w:val="300"/>
        </w:trPr>
        <w:tc>
          <w:tcPr>
            <w:tcW w:w="3392" w:type="dxa"/>
            <w:tcBorders>
              <w:top w:val="nil"/>
              <w:left w:val="single" w:sz="8" w:space="0" w:color="auto"/>
              <w:bottom w:val="nil"/>
              <w:right w:val="single" w:sz="4" w:space="0" w:color="auto"/>
            </w:tcBorders>
            <w:shd w:val="clear" w:color="000000" w:fill="DCE6F1"/>
            <w:noWrap/>
            <w:vAlign w:val="center"/>
            <w:hideMark/>
          </w:tcPr>
          <w:p w14:paraId="4E8183C1" w14:textId="24DF5550" w:rsidR="00AF3AD6" w:rsidRPr="005C61AB" w:rsidRDefault="00AF3AD6" w:rsidP="00DC4B90">
            <w:pPr>
              <w:ind w:firstLineChars="100" w:firstLine="220"/>
              <w:jc w:val="right"/>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Olomoucký a</w:t>
            </w:r>
            <w:r w:rsidR="005C61AB" w:rsidRPr="005C61AB">
              <w:rPr>
                <w:rFonts w:asciiTheme="minorHAnsi" w:hAnsiTheme="minorHAnsi" w:cstheme="minorHAnsi"/>
                <w:color w:val="000000"/>
                <w:sz w:val="22"/>
                <w:szCs w:val="22"/>
                <w:lang w:val="en-GB"/>
              </w:rPr>
              <w:t>nd</w:t>
            </w:r>
            <w:r w:rsidRPr="005C61AB">
              <w:rPr>
                <w:rFonts w:asciiTheme="minorHAnsi" w:hAnsiTheme="minorHAnsi" w:cstheme="minorHAnsi"/>
                <w:color w:val="000000"/>
                <w:sz w:val="22"/>
                <w:szCs w:val="22"/>
                <w:lang w:val="en-GB"/>
              </w:rPr>
              <w:t xml:space="preserve"> Moravskoslezský</w:t>
            </w:r>
          </w:p>
        </w:tc>
        <w:tc>
          <w:tcPr>
            <w:tcW w:w="1760" w:type="dxa"/>
            <w:tcBorders>
              <w:top w:val="nil"/>
              <w:left w:val="nil"/>
              <w:bottom w:val="single" w:sz="4" w:space="0" w:color="auto"/>
              <w:right w:val="single" w:sz="4" w:space="0" w:color="auto"/>
            </w:tcBorders>
            <w:shd w:val="clear" w:color="000000" w:fill="DCE6F1"/>
            <w:noWrap/>
            <w:vAlign w:val="center"/>
            <w:hideMark/>
          </w:tcPr>
          <w:p w14:paraId="59A8651E"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110</w:t>
            </w:r>
          </w:p>
        </w:tc>
        <w:tc>
          <w:tcPr>
            <w:tcW w:w="1500" w:type="dxa"/>
            <w:tcBorders>
              <w:top w:val="nil"/>
              <w:left w:val="nil"/>
              <w:bottom w:val="single" w:sz="4" w:space="0" w:color="auto"/>
              <w:right w:val="nil"/>
            </w:tcBorders>
            <w:shd w:val="clear" w:color="000000" w:fill="DCE6F1"/>
            <w:noWrap/>
            <w:vAlign w:val="center"/>
            <w:hideMark/>
          </w:tcPr>
          <w:p w14:paraId="2C3C2038"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60</w:t>
            </w:r>
          </w:p>
        </w:tc>
        <w:tc>
          <w:tcPr>
            <w:tcW w:w="700" w:type="dxa"/>
            <w:tcBorders>
              <w:top w:val="nil"/>
              <w:left w:val="single" w:sz="4" w:space="0" w:color="auto"/>
              <w:bottom w:val="nil"/>
              <w:right w:val="nil"/>
            </w:tcBorders>
            <w:shd w:val="clear" w:color="000000" w:fill="DCE6F1"/>
            <w:noWrap/>
            <w:vAlign w:val="center"/>
            <w:hideMark/>
          </w:tcPr>
          <w:p w14:paraId="19ACC289"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25</w:t>
            </w:r>
          </w:p>
        </w:tc>
        <w:tc>
          <w:tcPr>
            <w:tcW w:w="1227" w:type="dxa"/>
            <w:tcBorders>
              <w:top w:val="nil"/>
              <w:left w:val="single" w:sz="4" w:space="0" w:color="auto"/>
              <w:bottom w:val="nil"/>
              <w:right w:val="nil"/>
            </w:tcBorders>
            <w:shd w:val="clear" w:color="000000" w:fill="DCE6F1"/>
            <w:noWrap/>
            <w:vAlign w:val="center"/>
            <w:hideMark/>
          </w:tcPr>
          <w:p w14:paraId="13AFD278"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54,6%</w:t>
            </w:r>
          </w:p>
        </w:tc>
        <w:tc>
          <w:tcPr>
            <w:tcW w:w="833" w:type="dxa"/>
            <w:tcBorders>
              <w:top w:val="nil"/>
              <w:left w:val="single" w:sz="4" w:space="0" w:color="auto"/>
              <w:bottom w:val="nil"/>
              <w:right w:val="single" w:sz="8" w:space="0" w:color="auto"/>
            </w:tcBorders>
            <w:shd w:val="clear" w:color="000000" w:fill="DCE6F1"/>
            <w:noWrap/>
            <w:vAlign w:val="center"/>
            <w:hideMark/>
          </w:tcPr>
          <w:p w14:paraId="5B2A111F" w14:textId="77777777" w:rsidR="00AF3AD6" w:rsidRPr="005C61AB" w:rsidRDefault="00AF3AD6" w:rsidP="00DC4B90">
            <w:pPr>
              <w:jc w:val="center"/>
              <w:rPr>
                <w:rFonts w:asciiTheme="minorHAnsi" w:hAnsiTheme="minorHAnsi" w:cstheme="minorHAnsi"/>
                <w:color w:val="000000"/>
                <w:sz w:val="22"/>
                <w:szCs w:val="22"/>
                <w:lang w:val="en-GB"/>
              </w:rPr>
            </w:pPr>
            <w:r w:rsidRPr="005C61AB">
              <w:rPr>
                <w:rFonts w:asciiTheme="minorHAnsi" w:hAnsiTheme="minorHAnsi" w:cstheme="minorHAnsi"/>
                <w:color w:val="000000"/>
                <w:sz w:val="22"/>
                <w:szCs w:val="22"/>
                <w:lang w:val="en-GB"/>
              </w:rPr>
              <w:t>22,7%</w:t>
            </w:r>
          </w:p>
        </w:tc>
      </w:tr>
      <w:tr w:rsidR="00AF3AD6" w:rsidRPr="005C61AB" w14:paraId="102243AA" w14:textId="77777777" w:rsidTr="005C61AB">
        <w:trPr>
          <w:trHeight w:val="390"/>
        </w:trPr>
        <w:tc>
          <w:tcPr>
            <w:tcW w:w="3392"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5B642CE8" w14:textId="6FBE16F9" w:rsidR="00AF3AD6" w:rsidRPr="005C61AB" w:rsidRDefault="005C61AB" w:rsidP="00DC4B90">
            <w:pPr>
              <w:ind w:firstLineChars="100" w:firstLine="220"/>
              <w:jc w:val="right"/>
              <w:rPr>
                <w:rFonts w:asciiTheme="minorHAnsi" w:hAnsiTheme="minorHAnsi" w:cstheme="minorHAnsi"/>
                <w:b/>
                <w:color w:val="000000"/>
                <w:sz w:val="22"/>
                <w:szCs w:val="22"/>
                <w:lang w:val="en-GB"/>
              </w:rPr>
            </w:pPr>
            <w:r w:rsidRPr="005C61AB">
              <w:rPr>
                <w:rFonts w:asciiTheme="minorHAnsi" w:hAnsiTheme="minorHAnsi" w:cstheme="minorHAnsi"/>
                <w:b/>
                <w:color w:val="000000"/>
                <w:sz w:val="22"/>
                <w:szCs w:val="22"/>
                <w:lang w:val="en-GB"/>
              </w:rPr>
              <w:t>Total</w:t>
            </w:r>
          </w:p>
        </w:tc>
        <w:tc>
          <w:tcPr>
            <w:tcW w:w="1760" w:type="dxa"/>
            <w:tcBorders>
              <w:top w:val="single" w:sz="8" w:space="0" w:color="auto"/>
              <w:left w:val="nil"/>
              <w:bottom w:val="single" w:sz="8" w:space="0" w:color="auto"/>
              <w:right w:val="single" w:sz="4" w:space="0" w:color="auto"/>
            </w:tcBorders>
            <w:shd w:val="clear" w:color="000000" w:fill="DAEEF3"/>
            <w:noWrap/>
            <w:vAlign w:val="center"/>
            <w:hideMark/>
          </w:tcPr>
          <w:p w14:paraId="2D1BBA31" w14:textId="77777777" w:rsidR="00AF3AD6" w:rsidRPr="005C61AB" w:rsidRDefault="00AF3AD6" w:rsidP="00DC4B90">
            <w:pPr>
              <w:jc w:val="center"/>
              <w:rPr>
                <w:rFonts w:asciiTheme="minorHAnsi" w:hAnsiTheme="minorHAnsi" w:cstheme="minorHAnsi"/>
                <w:b/>
                <w:color w:val="000000"/>
                <w:sz w:val="22"/>
                <w:szCs w:val="22"/>
                <w:lang w:val="en-GB"/>
              </w:rPr>
            </w:pPr>
            <w:r w:rsidRPr="005C61AB">
              <w:rPr>
                <w:rFonts w:asciiTheme="minorHAnsi" w:hAnsiTheme="minorHAnsi" w:cstheme="minorHAnsi"/>
                <w:b/>
                <w:color w:val="000000"/>
                <w:sz w:val="22"/>
                <w:szCs w:val="22"/>
                <w:lang w:val="en-GB"/>
              </w:rPr>
              <w:t>811</w:t>
            </w:r>
          </w:p>
        </w:tc>
        <w:tc>
          <w:tcPr>
            <w:tcW w:w="1500" w:type="dxa"/>
            <w:tcBorders>
              <w:top w:val="single" w:sz="8" w:space="0" w:color="auto"/>
              <w:left w:val="nil"/>
              <w:bottom w:val="single" w:sz="8" w:space="0" w:color="auto"/>
              <w:right w:val="nil"/>
            </w:tcBorders>
            <w:shd w:val="clear" w:color="000000" w:fill="DAEEF3"/>
            <w:noWrap/>
            <w:vAlign w:val="center"/>
            <w:hideMark/>
          </w:tcPr>
          <w:p w14:paraId="1BC2B196" w14:textId="77777777" w:rsidR="00AF3AD6" w:rsidRPr="005C61AB" w:rsidRDefault="00AF3AD6" w:rsidP="00DC4B90">
            <w:pPr>
              <w:jc w:val="center"/>
              <w:rPr>
                <w:rFonts w:asciiTheme="minorHAnsi" w:hAnsiTheme="minorHAnsi" w:cstheme="minorHAnsi"/>
                <w:b/>
                <w:color w:val="000000"/>
                <w:sz w:val="22"/>
                <w:szCs w:val="22"/>
                <w:lang w:val="en-GB"/>
              </w:rPr>
            </w:pPr>
            <w:r w:rsidRPr="005C61AB">
              <w:rPr>
                <w:rFonts w:asciiTheme="minorHAnsi" w:hAnsiTheme="minorHAnsi" w:cstheme="minorHAnsi"/>
                <w:b/>
                <w:color w:val="000000"/>
                <w:sz w:val="22"/>
                <w:szCs w:val="22"/>
                <w:lang w:val="en-GB"/>
              </w:rPr>
              <w:t>557</w:t>
            </w:r>
          </w:p>
        </w:tc>
        <w:tc>
          <w:tcPr>
            <w:tcW w:w="700" w:type="dxa"/>
            <w:tcBorders>
              <w:top w:val="single" w:sz="8" w:space="0" w:color="auto"/>
              <w:left w:val="single" w:sz="4" w:space="0" w:color="auto"/>
              <w:bottom w:val="single" w:sz="8" w:space="0" w:color="auto"/>
              <w:right w:val="nil"/>
            </w:tcBorders>
            <w:shd w:val="clear" w:color="000000" w:fill="DAEEF3"/>
            <w:noWrap/>
            <w:vAlign w:val="center"/>
            <w:hideMark/>
          </w:tcPr>
          <w:p w14:paraId="17237B6C" w14:textId="77777777" w:rsidR="00AF3AD6" w:rsidRPr="005C61AB" w:rsidRDefault="00AF3AD6" w:rsidP="00DC4B90">
            <w:pPr>
              <w:jc w:val="center"/>
              <w:rPr>
                <w:rFonts w:asciiTheme="minorHAnsi" w:hAnsiTheme="minorHAnsi" w:cstheme="minorHAnsi"/>
                <w:b/>
                <w:color w:val="000000"/>
                <w:sz w:val="22"/>
                <w:szCs w:val="22"/>
                <w:lang w:val="en-GB"/>
              </w:rPr>
            </w:pPr>
            <w:r w:rsidRPr="005C61AB">
              <w:rPr>
                <w:rFonts w:asciiTheme="minorHAnsi" w:hAnsiTheme="minorHAnsi" w:cstheme="minorHAnsi"/>
                <w:b/>
                <w:color w:val="000000"/>
                <w:sz w:val="22"/>
                <w:szCs w:val="22"/>
                <w:lang w:val="en-GB"/>
              </w:rPr>
              <w:t>213</w:t>
            </w:r>
          </w:p>
        </w:tc>
        <w:tc>
          <w:tcPr>
            <w:tcW w:w="1227" w:type="dxa"/>
            <w:tcBorders>
              <w:top w:val="single" w:sz="8" w:space="0" w:color="auto"/>
              <w:left w:val="single" w:sz="4" w:space="0" w:color="auto"/>
              <w:bottom w:val="single" w:sz="8" w:space="0" w:color="auto"/>
              <w:right w:val="nil"/>
            </w:tcBorders>
            <w:shd w:val="clear" w:color="000000" w:fill="DAEEF3"/>
            <w:noWrap/>
            <w:vAlign w:val="center"/>
            <w:hideMark/>
          </w:tcPr>
          <w:p w14:paraId="47428CFD" w14:textId="77777777" w:rsidR="00AF3AD6" w:rsidRPr="005C61AB" w:rsidRDefault="00AF3AD6" w:rsidP="00DC4B90">
            <w:pPr>
              <w:jc w:val="center"/>
              <w:rPr>
                <w:rFonts w:asciiTheme="minorHAnsi" w:hAnsiTheme="minorHAnsi" w:cstheme="minorHAnsi"/>
                <w:b/>
                <w:color w:val="000000"/>
                <w:sz w:val="22"/>
                <w:szCs w:val="22"/>
                <w:lang w:val="en-GB"/>
              </w:rPr>
            </w:pPr>
            <w:r w:rsidRPr="005C61AB">
              <w:rPr>
                <w:rFonts w:asciiTheme="minorHAnsi" w:hAnsiTheme="minorHAnsi" w:cstheme="minorHAnsi"/>
                <w:b/>
                <w:color w:val="000000"/>
                <w:sz w:val="22"/>
                <w:szCs w:val="22"/>
                <w:lang w:val="en-GB"/>
              </w:rPr>
              <w:t>68,7%</w:t>
            </w:r>
          </w:p>
        </w:tc>
        <w:tc>
          <w:tcPr>
            <w:tcW w:w="833" w:type="dxa"/>
            <w:tcBorders>
              <w:top w:val="single" w:sz="8" w:space="0" w:color="auto"/>
              <w:left w:val="single" w:sz="4" w:space="0" w:color="auto"/>
              <w:bottom w:val="single" w:sz="8" w:space="0" w:color="auto"/>
              <w:right w:val="single" w:sz="8" w:space="0" w:color="auto"/>
            </w:tcBorders>
            <w:shd w:val="clear" w:color="000000" w:fill="DAEEF3"/>
            <w:noWrap/>
            <w:vAlign w:val="center"/>
            <w:hideMark/>
          </w:tcPr>
          <w:p w14:paraId="5F27ACEF" w14:textId="77777777" w:rsidR="00AF3AD6" w:rsidRPr="005C61AB" w:rsidRDefault="00AF3AD6" w:rsidP="00DC4B90">
            <w:pPr>
              <w:jc w:val="center"/>
              <w:rPr>
                <w:rFonts w:asciiTheme="minorHAnsi" w:hAnsiTheme="minorHAnsi" w:cstheme="minorHAnsi"/>
                <w:b/>
                <w:color w:val="000000"/>
                <w:sz w:val="22"/>
                <w:szCs w:val="22"/>
                <w:lang w:val="en-GB"/>
              </w:rPr>
            </w:pPr>
            <w:r w:rsidRPr="005C61AB">
              <w:rPr>
                <w:rFonts w:asciiTheme="minorHAnsi" w:hAnsiTheme="minorHAnsi" w:cstheme="minorHAnsi"/>
                <w:b/>
                <w:color w:val="000000"/>
                <w:sz w:val="22"/>
                <w:szCs w:val="22"/>
                <w:lang w:val="en-GB"/>
              </w:rPr>
              <w:t>26,3%</w:t>
            </w:r>
          </w:p>
        </w:tc>
      </w:tr>
    </w:tbl>
    <w:p w14:paraId="0D8A8762" w14:textId="77777777" w:rsidR="00AF3AD6" w:rsidRPr="005C61AB" w:rsidRDefault="00AF3AD6" w:rsidP="00AF3AD6">
      <w:pPr>
        <w:jc w:val="both"/>
        <w:rPr>
          <w:rFonts w:asciiTheme="minorHAnsi" w:hAnsiTheme="minorHAnsi" w:cstheme="minorHAnsi"/>
          <w:sz w:val="22"/>
          <w:szCs w:val="22"/>
          <w:lang w:val="en-GB"/>
        </w:rPr>
      </w:pPr>
    </w:p>
    <w:p w14:paraId="16787E0A" w14:textId="77777777" w:rsidR="00AF3AD6" w:rsidRPr="005C61AB" w:rsidRDefault="00AF3AD6" w:rsidP="00AF3AD6">
      <w:pPr>
        <w:jc w:val="both"/>
        <w:rPr>
          <w:rFonts w:asciiTheme="minorHAnsi" w:hAnsiTheme="minorHAnsi" w:cstheme="minorHAnsi"/>
          <w:sz w:val="22"/>
          <w:szCs w:val="22"/>
          <w:lang w:val="en-GB"/>
        </w:rPr>
      </w:pPr>
    </w:p>
    <w:p w14:paraId="041FE91A" w14:textId="77777777" w:rsidR="00AF3AD6" w:rsidRPr="005C61AB" w:rsidRDefault="00AF3AD6" w:rsidP="00AF3AD6">
      <w:pPr>
        <w:jc w:val="both"/>
        <w:rPr>
          <w:rFonts w:asciiTheme="minorHAnsi" w:hAnsiTheme="minorHAnsi" w:cstheme="minorHAnsi"/>
          <w:b/>
          <w:sz w:val="22"/>
          <w:szCs w:val="22"/>
          <w:lang w:val="en-GB"/>
        </w:rPr>
      </w:pPr>
    </w:p>
    <w:p w14:paraId="084ACA63" w14:textId="77777777" w:rsidR="00AF3AD6" w:rsidRPr="005C61AB" w:rsidRDefault="00AF3AD6" w:rsidP="00AF3AD6">
      <w:pPr>
        <w:jc w:val="both"/>
        <w:rPr>
          <w:rFonts w:asciiTheme="minorHAnsi" w:hAnsiTheme="minorHAnsi" w:cstheme="minorHAnsi"/>
          <w:b/>
          <w:sz w:val="22"/>
          <w:szCs w:val="22"/>
          <w:lang w:val="en-GB"/>
        </w:rPr>
      </w:pPr>
    </w:p>
    <w:p w14:paraId="27880B65" w14:textId="7588CF7C" w:rsidR="00AF3AD6" w:rsidRPr="005C61AB" w:rsidRDefault="005C61AB" w:rsidP="00AF3AD6">
      <w:pPr>
        <w:spacing w:before="120" w:after="120" w:line="276" w:lineRule="auto"/>
        <w:jc w:val="both"/>
        <w:rPr>
          <w:rFonts w:asciiTheme="minorHAnsi" w:hAnsiTheme="minorHAnsi" w:cstheme="minorHAnsi"/>
          <w:b/>
          <w:sz w:val="22"/>
          <w:szCs w:val="22"/>
          <w:lang w:val="en-GB"/>
        </w:rPr>
      </w:pPr>
      <w:r w:rsidRPr="005C61AB">
        <w:rPr>
          <w:rFonts w:asciiTheme="minorHAnsi" w:hAnsiTheme="minorHAnsi" w:cstheme="minorHAnsi"/>
          <w:b/>
          <w:sz w:val="22"/>
          <w:szCs w:val="22"/>
          <w:lang w:val="en-GB"/>
        </w:rPr>
        <w:t>Detected flaws</w:t>
      </w:r>
    </w:p>
    <w:p w14:paraId="2639CCC9" w14:textId="6C5DFF34" w:rsidR="005C61AB" w:rsidRPr="005C61AB" w:rsidRDefault="005C61AB" w:rsidP="005C61AB">
      <w:pPr>
        <w:spacing w:before="120" w:after="120" w:line="276" w:lineRule="auto"/>
        <w:jc w:val="both"/>
        <w:rPr>
          <w:rFonts w:asciiTheme="minorHAnsi" w:hAnsiTheme="minorHAnsi" w:cstheme="minorHAnsi"/>
          <w:sz w:val="22"/>
          <w:szCs w:val="22"/>
          <w:lang w:val="en-GB"/>
        </w:rPr>
      </w:pPr>
      <w:r w:rsidRPr="005C61AB">
        <w:rPr>
          <w:rFonts w:asciiTheme="minorHAnsi" w:hAnsiTheme="minorHAnsi" w:cstheme="minorHAnsi"/>
          <w:sz w:val="22"/>
          <w:szCs w:val="22"/>
          <w:lang w:val="en-GB"/>
        </w:rPr>
        <w:t xml:space="preserve">The Czech Trade Inspection Authority </w:t>
      </w:r>
      <w:r w:rsidRPr="005C61AB">
        <w:rPr>
          <w:rFonts w:asciiTheme="minorHAnsi" w:hAnsiTheme="minorHAnsi" w:cstheme="minorHAnsi"/>
          <w:sz w:val="22"/>
          <w:szCs w:val="22"/>
          <w:lang w:val="en-GB"/>
        </w:rPr>
        <w:t>took</w:t>
      </w:r>
      <w:r w:rsidRPr="005C61AB">
        <w:rPr>
          <w:rFonts w:asciiTheme="minorHAnsi" w:hAnsiTheme="minorHAnsi" w:cstheme="minorHAnsi"/>
          <w:sz w:val="22"/>
          <w:szCs w:val="22"/>
          <w:lang w:val="en-GB"/>
        </w:rPr>
        <w:t xml:space="preserve"> and stored </w:t>
      </w:r>
      <w:proofErr w:type="gramStart"/>
      <w:r w:rsidRPr="005C61AB">
        <w:rPr>
          <w:rFonts w:asciiTheme="minorHAnsi" w:hAnsiTheme="minorHAnsi" w:cstheme="minorHAnsi"/>
          <w:sz w:val="22"/>
          <w:szCs w:val="22"/>
          <w:lang w:val="en-GB"/>
        </w:rPr>
        <w:t>a total of 18,845</w:t>
      </w:r>
      <w:proofErr w:type="gramEnd"/>
      <w:r w:rsidRPr="005C61AB">
        <w:rPr>
          <w:rFonts w:asciiTheme="minorHAnsi" w:hAnsiTheme="minorHAnsi" w:cstheme="minorHAnsi"/>
          <w:sz w:val="22"/>
          <w:szCs w:val="22"/>
          <w:lang w:val="en-GB"/>
        </w:rPr>
        <w:t xml:space="preserve"> counterfeits out of the reach of inspected persons during the </w:t>
      </w:r>
      <w:r w:rsidR="00374D5E">
        <w:rPr>
          <w:rFonts w:asciiTheme="minorHAnsi" w:hAnsiTheme="minorHAnsi" w:cstheme="minorHAnsi"/>
          <w:sz w:val="22"/>
          <w:szCs w:val="22"/>
          <w:lang w:val="en-GB"/>
        </w:rPr>
        <w:t>respec</w:t>
      </w:r>
      <w:r w:rsidRPr="005C61AB">
        <w:rPr>
          <w:rFonts w:asciiTheme="minorHAnsi" w:hAnsiTheme="minorHAnsi" w:cstheme="minorHAnsi"/>
          <w:sz w:val="22"/>
          <w:szCs w:val="22"/>
          <w:lang w:val="en-GB"/>
        </w:rPr>
        <w:t xml:space="preserve">tive </w:t>
      </w:r>
      <w:r w:rsidRPr="005C61AB">
        <w:rPr>
          <w:rFonts w:asciiTheme="minorHAnsi" w:hAnsiTheme="minorHAnsi" w:cstheme="minorHAnsi"/>
          <w:sz w:val="22"/>
          <w:szCs w:val="22"/>
          <w:lang w:val="en-GB"/>
        </w:rPr>
        <w:t xml:space="preserve">period, with a value of CZK 32,492,870.80 in </w:t>
      </w:r>
      <w:r w:rsidRPr="005C61AB">
        <w:rPr>
          <w:rFonts w:asciiTheme="minorHAnsi" w:hAnsiTheme="minorHAnsi" w:cstheme="minorHAnsi"/>
          <w:sz w:val="22"/>
          <w:szCs w:val="22"/>
          <w:lang w:val="en-GB"/>
        </w:rPr>
        <w:t xml:space="preserve">the prices of </w:t>
      </w:r>
      <w:r w:rsidRPr="005C61AB">
        <w:rPr>
          <w:rFonts w:asciiTheme="minorHAnsi" w:hAnsiTheme="minorHAnsi" w:cstheme="minorHAnsi"/>
          <w:sz w:val="22"/>
          <w:szCs w:val="22"/>
          <w:lang w:val="en-GB"/>
        </w:rPr>
        <w:t>original</w:t>
      </w:r>
      <w:r w:rsidRPr="005C61AB">
        <w:rPr>
          <w:rFonts w:asciiTheme="minorHAnsi" w:hAnsiTheme="minorHAnsi" w:cstheme="minorHAnsi"/>
          <w:sz w:val="22"/>
          <w:szCs w:val="22"/>
          <w:lang w:val="en-GB"/>
        </w:rPr>
        <w:t>s</w:t>
      </w:r>
      <w:r w:rsidRPr="005C61AB">
        <w:rPr>
          <w:rFonts w:asciiTheme="minorHAnsi" w:hAnsiTheme="minorHAnsi" w:cstheme="minorHAnsi"/>
          <w:sz w:val="22"/>
          <w:szCs w:val="22"/>
          <w:lang w:val="en-GB"/>
        </w:rPr>
        <w:t xml:space="preserve">. The secured products were stored out of the reach of the </w:t>
      </w:r>
      <w:r w:rsidRPr="005C61AB">
        <w:rPr>
          <w:rFonts w:asciiTheme="minorHAnsi" w:hAnsiTheme="minorHAnsi" w:cstheme="minorHAnsi"/>
          <w:sz w:val="22"/>
          <w:szCs w:val="22"/>
          <w:lang w:val="en-GB"/>
        </w:rPr>
        <w:t>inspected</w:t>
      </w:r>
      <w:r w:rsidRPr="005C61AB">
        <w:rPr>
          <w:rFonts w:asciiTheme="minorHAnsi" w:hAnsiTheme="minorHAnsi" w:cstheme="minorHAnsi"/>
          <w:sz w:val="22"/>
          <w:szCs w:val="22"/>
          <w:lang w:val="en-GB"/>
        </w:rPr>
        <w:t xml:space="preserve"> persons in accordance with the provisions of Section 7b of Act No. 64/1986 Coll., on the Czech Trade Inspection Authority. </w:t>
      </w:r>
      <w:proofErr w:type="gramStart"/>
      <w:r w:rsidRPr="005C61AB">
        <w:rPr>
          <w:rFonts w:asciiTheme="minorHAnsi" w:hAnsiTheme="minorHAnsi" w:cstheme="minorHAnsi"/>
          <w:sz w:val="22"/>
          <w:szCs w:val="22"/>
          <w:lang w:val="en-GB"/>
        </w:rPr>
        <w:t xml:space="preserve">Products which do not comply with </w:t>
      </w:r>
      <w:r w:rsidRPr="005C61AB">
        <w:rPr>
          <w:rFonts w:asciiTheme="minorHAnsi" w:hAnsiTheme="minorHAnsi" w:cstheme="minorHAnsi"/>
          <w:sz w:val="22"/>
          <w:szCs w:val="22"/>
          <w:lang w:val="en-GB"/>
        </w:rPr>
        <w:t>special</w:t>
      </w:r>
      <w:r w:rsidRPr="005C61AB">
        <w:rPr>
          <w:rFonts w:asciiTheme="minorHAnsi" w:hAnsiTheme="minorHAnsi" w:cstheme="minorHAnsi"/>
          <w:sz w:val="22"/>
          <w:szCs w:val="22"/>
          <w:lang w:val="en-GB"/>
        </w:rPr>
        <w:t xml:space="preserve"> legislation</w:t>
      </w:r>
      <w:proofErr w:type="gramEnd"/>
      <w:r w:rsidRPr="005C61AB">
        <w:rPr>
          <w:rFonts w:asciiTheme="minorHAnsi" w:hAnsiTheme="minorHAnsi" w:cstheme="minorHAnsi"/>
          <w:sz w:val="22"/>
          <w:szCs w:val="22"/>
          <w:lang w:val="en-GB"/>
        </w:rPr>
        <w:t xml:space="preserve"> </w:t>
      </w:r>
      <w:r w:rsidRPr="005C61AB">
        <w:rPr>
          <w:rFonts w:asciiTheme="minorHAnsi" w:hAnsiTheme="minorHAnsi" w:cstheme="minorHAnsi"/>
          <w:sz w:val="22"/>
          <w:szCs w:val="22"/>
          <w:lang w:val="en-GB"/>
        </w:rPr>
        <w:t xml:space="preserve">will be subject to a lawful decision on their forfeit of confiscation. They </w:t>
      </w:r>
      <w:proofErr w:type="gramStart"/>
      <w:r w:rsidRPr="005C61AB">
        <w:rPr>
          <w:rFonts w:asciiTheme="minorHAnsi" w:hAnsiTheme="minorHAnsi" w:cstheme="minorHAnsi"/>
          <w:sz w:val="22"/>
          <w:szCs w:val="22"/>
          <w:lang w:val="en-GB"/>
        </w:rPr>
        <w:t>will subsequently be destroyed or used for humanitarian purposes</w:t>
      </w:r>
      <w:proofErr w:type="gramEnd"/>
      <w:r w:rsidRPr="005C61AB">
        <w:rPr>
          <w:rFonts w:asciiTheme="minorHAnsi" w:hAnsiTheme="minorHAnsi" w:cstheme="minorHAnsi"/>
          <w:sz w:val="22"/>
          <w:szCs w:val="22"/>
          <w:lang w:val="en-GB"/>
        </w:rPr>
        <w:t>.</w:t>
      </w:r>
    </w:p>
    <w:p w14:paraId="503B7C02" w14:textId="59DBCA05" w:rsidR="005C61AB" w:rsidRPr="005C61AB" w:rsidRDefault="005C61AB" w:rsidP="005C61AB">
      <w:pPr>
        <w:spacing w:before="120" w:after="120" w:line="276" w:lineRule="auto"/>
        <w:jc w:val="both"/>
        <w:rPr>
          <w:rFonts w:asciiTheme="minorHAnsi" w:hAnsiTheme="minorHAnsi" w:cstheme="minorHAnsi"/>
          <w:b/>
          <w:sz w:val="22"/>
          <w:szCs w:val="22"/>
          <w:lang w:val="en-GB"/>
        </w:rPr>
      </w:pPr>
      <w:r w:rsidRPr="005C61AB">
        <w:rPr>
          <w:rFonts w:asciiTheme="minorHAnsi" w:hAnsiTheme="minorHAnsi" w:cstheme="minorHAnsi"/>
          <w:b/>
          <w:sz w:val="22"/>
          <w:szCs w:val="22"/>
          <w:lang w:val="en-GB"/>
        </w:rPr>
        <w:t>Graph</w:t>
      </w:r>
      <w:r w:rsidRPr="005C61AB">
        <w:rPr>
          <w:rFonts w:asciiTheme="minorHAnsi" w:hAnsiTheme="minorHAnsi" w:cstheme="minorHAnsi"/>
          <w:b/>
          <w:sz w:val="22"/>
          <w:szCs w:val="22"/>
          <w:lang w:val="en-GB"/>
        </w:rPr>
        <w:t xml:space="preserve"> 1: Share of product groups in the total </w:t>
      </w:r>
      <w:r w:rsidRPr="005C61AB">
        <w:rPr>
          <w:rFonts w:asciiTheme="minorHAnsi" w:hAnsiTheme="minorHAnsi" w:cstheme="minorHAnsi"/>
          <w:b/>
          <w:sz w:val="22"/>
          <w:szCs w:val="22"/>
          <w:lang w:val="en-GB"/>
        </w:rPr>
        <w:t>number</w:t>
      </w:r>
      <w:r w:rsidRPr="005C61AB">
        <w:rPr>
          <w:rFonts w:asciiTheme="minorHAnsi" w:hAnsiTheme="minorHAnsi" w:cstheme="minorHAnsi"/>
          <w:b/>
          <w:sz w:val="22"/>
          <w:szCs w:val="22"/>
          <w:lang w:val="en-GB"/>
        </w:rPr>
        <w:t xml:space="preserve"> of counterfeits </w:t>
      </w:r>
      <w:r w:rsidRPr="005C61AB">
        <w:rPr>
          <w:rFonts w:asciiTheme="minorHAnsi" w:hAnsiTheme="minorHAnsi" w:cstheme="minorHAnsi"/>
          <w:b/>
          <w:sz w:val="22"/>
          <w:szCs w:val="22"/>
          <w:lang w:val="en-GB"/>
        </w:rPr>
        <w:t>taken</w:t>
      </w:r>
    </w:p>
    <w:p w14:paraId="1D436AA0" w14:textId="77777777" w:rsidR="00AF3AD6" w:rsidRPr="005C61AB" w:rsidRDefault="00AF3AD6" w:rsidP="00AF3AD6">
      <w:pPr>
        <w:jc w:val="both"/>
        <w:rPr>
          <w:rFonts w:asciiTheme="minorHAnsi" w:hAnsiTheme="minorHAnsi" w:cstheme="minorHAnsi"/>
          <w:sz w:val="22"/>
          <w:szCs w:val="22"/>
          <w:lang w:val="en-GB"/>
        </w:rPr>
      </w:pPr>
      <w:r w:rsidRPr="005C61AB">
        <w:rPr>
          <w:rFonts w:asciiTheme="minorHAnsi" w:hAnsiTheme="minorHAnsi" w:cstheme="minorHAnsi"/>
          <w:noProof/>
          <w:sz w:val="22"/>
          <w:szCs w:val="22"/>
          <w:lang w:val="en-GB"/>
        </w:rPr>
        <w:drawing>
          <wp:inline distT="0" distB="0" distL="0" distR="0" wp14:anchorId="6684DBEB" wp14:editId="11F5B7BE">
            <wp:extent cx="5724525" cy="304800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5E3898" w14:textId="77777777" w:rsidR="00AF3AD6" w:rsidRPr="005C61AB" w:rsidRDefault="00AF3AD6" w:rsidP="00AF3AD6">
      <w:pPr>
        <w:jc w:val="both"/>
        <w:rPr>
          <w:rFonts w:asciiTheme="minorHAnsi" w:hAnsiTheme="minorHAnsi" w:cstheme="minorHAnsi"/>
          <w:sz w:val="22"/>
          <w:szCs w:val="22"/>
          <w:lang w:val="en-GB"/>
        </w:rPr>
      </w:pPr>
    </w:p>
    <w:p w14:paraId="45EE54E5" w14:textId="622E0A96" w:rsidR="005C61AB" w:rsidRPr="005C61AB" w:rsidRDefault="005C61AB" w:rsidP="005C61AB">
      <w:pPr>
        <w:spacing w:before="120" w:after="120" w:line="276" w:lineRule="auto"/>
        <w:jc w:val="both"/>
        <w:rPr>
          <w:rFonts w:asciiTheme="minorHAnsi" w:hAnsiTheme="minorHAnsi" w:cstheme="minorHAnsi"/>
          <w:b/>
          <w:sz w:val="22"/>
          <w:szCs w:val="22"/>
          <w:lang w:val="en-GB"/>
        </w:rPr>
      </w:pPr>
      <w:r w:rsidRPr="005C61AB">
        <w:rPr>
          <w:rFonts w:asciiTheme="minorHAnsi" w:hAnsiTheme="minorHAnsi" w:cstheme="minorHAnsi"/>
          <w:b/>
          <w:sz w:val="22"/>
          <w:szCs w:val="22"/>
          <w:lang w:val="en-GB"/>
        </w:rPr>
        <w:t xml:space="preserve">Chart 2: </w:t>
      </w:r>
      <w:r w:rsidRPr="005C61AB">
        <w:rPr>
          <w:rFonts w:asciiTheme="minorHAnsi" w:hAnsiTheme="minorHAnsi" w:cstheme="minorHAnsi"/>
          <w:b/>
          <w:sz w:val="22"/>
          <w:szCs w:val="22"/>
          <w:lang w:val="en-GB"/>
        </w:rPr>
        <w:t>Taken</w:t>
      </w:r>
      <w:r w:rsidRPr="005C61AB">
        <w:rPr>
          <w:rFonts w:asciiTheme="minorHAnsi" w:hAnsiTheme="minorHAnsi" w:cstheme="minorHAnsi"/>
          <w:b/>
          <w:sz w:val="22"/>
          <w:szCs w:val="22"/>
          <w:lang w:val="en-GB"/>
        </w:rPr>
        <w:t xml:space="preserve"> products </w:t>
      </w:r>
      <w:r w:rsidRPr="005C61AB">
        <w:rPr>
          <w:rFonts w:asciiTheme="minorHAnsi" w:hAnsiTheme="minorHAnsi" w:cstheme="minorHAnsi"/>
          <w:b/>
          <w:sz w:val="22"/>
          <w:szCs w:val="22"/>
          <w:lang w:val="en-GB"/>
        </w:rPr>
        <w:t>according to brands (over 400 items taken)</w:t>
      </w:r>
    </w:p>
    <w:p w14:paraId="5546F62B" w14:textId="6120C0F3" w:rsidR="005C61AB" w:rsidRPr="005C61AB" w:rsidRDefault="005C61AB" w:rsidP="005C61AB">
      <w:pPr>
        <w:spacing w:before="120" w:after="120" w:line="276" w:lineRule="auto"/>
        <w:jc w:val="both"/>
        <w:rPr>
          <w:rFonts w:asciiTheme="minorHAnsi" w:hAnsiTheme="minorHAnsi" w:cstheme="minorHAnsi"/>
          <w:sz w:val="22"/>
          <w:szCs w:val="22"/>
          <w:lang w:val="en-GB"/>
        </w:rPr>
      </w:pPr>
      <w:r w:rsidRPr="005C61AB">
        <w:rPr>
          <w:rFonts w:asciiTheme="minorHAnsi" w:hAnsiTheme="minorHAnsi" w:cstheme="minorHAnsi"/>
          <w:sz w:val="22"/>
          <w:szCs w:val="22"/>
          <w:lang w:val="en-GB"/>
        </w:rPr>
        <w:t>The following chart shows the proportion of selected tra</w:t>
      </w:r>
      <w:r w:rsidR="00D1478E">
        <w:rPr>
          <w:rFonts w:asciiTheme="minorHAnsi" w:hAnsiTheme="minorHAnsi" w:cstheme="minorHAnsi"/>
          <w:sz w:val="22"/>
          <w:szCs w:val="22"/>
          <w:lang w:val="en-GB"/>
        </w:rPr>
        <w:t>de</w:t>
      </w:r>
      <w:bookmarkStart w:id="0" w:name="_GoBack"/>
      <w:bookmarkEnd w:id="0"/>
      <w:r w:rsidRPr="005C61AB">
        <w:rPr>
          <w:rFonts w:asciiTheme="minorHAnsi" w:hAnsiTheme="minorHAnsi" w:cstheme="minorHAnsi"/>
          <w:sz w:val="22"/>
          <w:szCs w:val="22"/>
          <w:lang w:val="en-GB"/>
        </w:rPr>
        <w:t xml:space="preserve">marks in the total volume of secured products. Trademarks </w:t>
      </w:r>
      <w:r w:rsidRPr="005C61AB">
        <w:rPr>
          <w:rFonts w:asciiTheme="minorHAnsi" w:hAnsiTheme="minorHAnsi" w:cstheme="minorHAnsi"/>
          <w:sz w:val="22"/>
          <w:szCs w:val="22"/>
          <w:lang w:val="en-GB"/>
        </w:rPr>
        <w:t>not included in the list</w:t>
      </w:r>
      <w:r w:rsidRPr="005C61AB">
        <w:rPr>
          <w:rFonts w:asciiTheme="minorHAnsi" w:hAnsiTheme="minorHAnsi" w:cstheme="minorHAnsi"/>
          <w:sz w:val="22"/>
          <w:szCs w:val="22"/>
          <w:lang w:val="en-GB"/>
        </w:rPr>
        <w:t xml:space="preserve"> </w:t>
      </w:r>
      <w:proofErr w:type="gramStart"/>
      <w:r w:rsidRPr="005C61AB">
        <w:rPr>
          <w:rFonts w:asciiTheme="minorHAnsi" w:hAnsiTheme="minorHAnsi" w:cstheme="minorHAnsi"/>
          <w:sz w:val="22"/>
          <w:szCs w:val="22"/>
          <w:lang w:val="en-GB"/>
        </w:rPr>
        <w:t>were found</w:t>
      </w:r>
      <w:proofErr w:type="gramEnd"/>
      <w:r w:rsidRPr="005C61AB">
        <w:rPr>
          <w:rFonts w:asciiTheme="minorHAnsi" w:hAnsiTheme="minorHAnsi" w:cstheme="minorHAnsi"/>
          <w:sz w:val="22"/>
          <w:szCs w:val="22"/>
          <w:lang w:val="en-GB"/>
        </w:rPr>
        <w:t xml:space="preserve"> in fewer than 400 </w:t>
      </w:r>
      <w:r w:rsidRPr="005C61AB">
        <w:rPr>
          <w:rFonts w:asciiTheme="minorHAnsi" w:hAnsiTheme="minorHAnsi" w:cstheme="minorHAnsi"/>
          <w:sz w:val="22"/>
          <w:szCs w:val="22"/>
          <w:lang w:val="en-GB"/>
        </w:rPr>
        <w:t>items</w:t>
      </w:r>
      <w:r w:rsidRPr="005C61AB">
        <w:rPr>
          <w:rFonts w:asciiTheme="minorHAnsi" w:hAnsiTheme="minorHAnsi" w:cstheme="minorHAnsi"/>
          <w:sz w:val="22"/>
          <w:szCs w:val="22"/>
          <w:lang w:val="en-GB"/>
        </w:rPr>
        <w:t xml:space="preserve"> of secured products.</w:t>
      </w:r>
    </w:p>
    <w:p w14:paraId="22E811F1" w14:textId="77777777" w:rsidR="00AF3AD6" w:rsidRPr="005C61AB" w:rsidRDefault="00AF3AD6" w:rsidP="00AF3AD6">
      <w:pPr>
        <w:jc w:val="both"/>
        <w:rPr>
          <w:rFonts w:asciiTheme="minorHAnsi" w:hAnsiTheme="minorHAnsi" w:cstheme="minorHAnsi"/>
          <w:sz w:val="22"/>
          <w:szCs w:val="22"/>
          <w:lang w:val="en-GB"/>
        </w:rPr>
      </w:pPr>
      <w:r w:rsidRPr="005C61AB">
        <w:rPr>
          <w:rFonts w:asciiTheme="minorHAnsi" w:hAnsiTheme="minorHAnsi" w:cstheme="minorHAnsi"/>
          <w:noProof/>
          <w:sz w:val="22"/>
          <w:szCs w:val="22"/>
          <w:lang w:val="en-GB"/>
        </w:rPr>
        <w:lastRenderedPageBreak/>
        <w:drawing>
          <wp:inline distT="0" distB="0" distL="0" distR="0" wp14:anchorId="1A96A0AF" wp14:editId="63A2BA94">
            <wp:extent cx="5829300" cy="3076575"/>
            <wp:effectExtent l="0" t="0" r="0"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0515B4" w14:textId="77777777" w:rsidR="00AF3AD6" w:rsidRPr="005C61AB" w:rsidRDefault="00AF3AD6" w:rsidP="00AF3AD6">
      <w:pPr>
        <w:jc w:val="both"/>
        <w:rPr>
          <w:rFonts w:asciiTheme="minorHAnsi" w:hAnsiTheme="minorHAnsi" w:cstheme="minorHAnsi"/>
          <w:sz w:val="22"/>
          <w:szCs w:val="22"/>
          <w:lang w:val="en-GB"/>
        </w:rPr>
      </w:pPr>
    </w:p>
    <w:p w14:paraId="2A1E7B59" w14:textId="0552C52F" w:rsidR="00AF3AD6" w:rsidRPr="005C61AB" w:rsidRDefault="005C61AB" w:rsidP="00AF3AD6">
      <w:pPr>
        <w:pStyle w:val="Nadpis1"/>
        <w:spacing w:before="120"/>
        <w:rPr>
          <w:rFonts w:asciiTheme="minorHAnsi" w:hAnsiTheme="minorHAnsi" w:cstheme="minorHAnsi"/>
          <w:sz w:val="22"/>
          <w:szCs w:val="22"/>
          <w:lang w:val="en-GB"/>
        </w:rPr>
      </w:pPr>
      <w:r w:rsidRPr="005C61AB">
        <w:rPr>
          <w:rFonts w:asciiTheme="minorHAnsi" w:hAnsiTheme="minorHAnsi" w:cstheme="minorHAnsi"/>
          <w:sz w:val="22"/>
          <w:szCs w:val="22"/>
          <w:lang w:val="en-GB"/>
        </w:rPr>
        <w:t>Imposed measures</w:t>
      </w:r>
      <w:r w:rsidR="00AF3AD6" w:rsidRPr="005C61AB">
        <w:rPr>
          <w:rFonts w:asciiTheme="minorHAnsi" w:hAnsiTheme="minorHAnsi" w:cstheme="minorHAnsi"/>
          <w:sz w:val="22"/>
          <w:szCs w:val="22"/>
          <w:lang w:val="en-GB"/>
        </w:rPr>
        <w:t xml:space="preserve"> </w:t>
      </w:r>
    </w:p>
    <w:p w14:paraId="6E6EE0D1" w14:textId="24AC9AED" w:rsidR="00AF3AD6" w:rsidRPr="005C61AB" w:rsidRDefault="005C61AB" w:rsidP="00AF3AD6">
      <w:pPr>
        <w:spacing w:before="120" w:after="120" w:line="276" w:lineRule="auto"/>
        <w:jc w:val="both"/>
        <w:rPr>
          <w:rFonts w:asciiTheme="minorHAnsi" w:hAnsiTheme="minorHAnsi" w:cstheme="minorHAnsi"/>
          <w:sz w:val="22"/>
          <w:szCs w:val="22"/>
          <w:lang w:val="en-GB"/>
        </w:rPr>
      </w:pPr>
      <w:r w:rsidRPr="005C61AB">
        <w:rPr>
          <w:rFonts w:asciiTheme="minorHAnsi" w:hAnsiTheme="minorHAnsi" w:cstheme="minorHAnsi"/>
          <w:sz w:val="22"/>
          <w:szCs w:val="22"/>
          <w:lang w:val="en-GB"/>
        </w:rPr>
        <w:t xml:space="preserve">In 2020, the Czech Trade Inspection Authority lawfully imposed the </w:t>
      </w:r>
      <w:proofErr w:type="gramStart"/>
      <w:r w:rsidRPr="005C61AB">
        <w:rPr>
          <w:rFonts w:asciiTheme="minorHAnsi" w:hAnsiTheme="minorHAnsi" w:cstheme="minorHAnsi"/>
          <w:sz w:val="22"/>
          <w:szCs w:val="22"/>
          <w:lang w:val="en-GB"/>
        </w:rPr>
        <w:t>total of 640</w:t>
      </w:r>
      <w:proofErr w:type="gramEnd"/>
      <w:r w:rsidRPr="005C61AB">
        <w:rPr>
          <w:rFonts w:asciiTheme="minorHAnsi" w:hAnsiTheme="minorHAnsi" w:cstheme="minorHAnsi"/>
          <w:sz w:val="22"/>
          <w:szCs w:val="22"/>
          <w:lang w:val="en-GB"/>
        </w:rPr>
        <w:t xml:space="preserve"> fines amounting to CZK 10,577,500</w:t>
      </w:r>
      <w:r w:rsidR="00AF3AD6" w:rsidRPr="005C61AB">
        <w:rPr>
          <w:rFonts w:asciiTheme="minorHAnsi" w:hAnsiTheme="minorHAnsi" w:cstheme="minorHAnsi"/>
          <w:sz w:val="22"/>
          <w:szCs w:val="22"/>
          <w:lang w:val="en-GB"/>
        </w:rPr>
        <w:t xml:space="preserve">. </w:t>
      </w:r>
    </w:p>
    <w:sectPr w:rsidR="00AF3AD6" w:rsidRPr="005C61AB" w:rsidSect="00362969">
      <w:footerReference w:type="default" r:id="rId11"/>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AA8B" w14:textId="77777777" w:rsidR="00D348B9" w:rsidRDefault="00D348B9" w:rsidP="00185D99">
      <w:r>
        <w:separator/>
      </w:r>
    </w:p>
  </w:endnote>
  <w:endnote w:type="continuationSeparator" w:id="0">
    <w:p w14:paraId="2075C11C" w14:textId="77777777" w:rsidR="00D348B9" w:rsidRDefault="00D348B9"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4473" w14:textId="77777777" w:rsidR="00D348B9" w:rsidRDefault="00D348B9" w:rsidP="00185D99">
      <w:r>
        <w:separator/>
      </w:r>
    </w:p>
  </w:footnote>
  <w:footnote w:type="continuationSeparator" w:id="0">
    <w:p w14:paraId="28695DAE" w14:textId="77777777" w:rsidR="00D348B9" w:rsidRDefault="00D348B9"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1"/>
  </w:num>
  <w:num w:numId="4">
    <w:abstractNumId w:val="27"/>
  </w:num>
  <w:num w:numId="5">
    <w:abstractNumId w:val="30"/>
  </w:num>
  <w:num w:numId="6">
    <w:abstractNumId w:val="3"/>
  </w:num>
  <w:num w:numId="7">
    <w:abstractNumId w:val="10"/>
  </w:num>
  <w:num w:numId="8">
    <w:abstractNumId w:val="9"/>
  </w:num>
  <w:num w:numId="9">
    <w:abstractNumId w:val="29"/>
  </w:num>
  <w:num w:numId="10">
    <w:abstractNumId w:val="2"/>
  </w:num>
  <w:num w:numId="11">
    <w:abstractNumId w:val="20"/>
  </w:num>
  <w:num w:numId="12">
    <w:abstractNumId w:val="7"/>
  </w:num>
  <w:num w:numId="13">
    <w:abstractNumId w:val="24"/>
  </w:num>
  <w:num w:numId="14">
    <w:abstractNumId w:val="14"/>
  </w:num>
  <w:num w:numId="15">
    <w:abstractNumId w:val="22"/>
  </w:num>
  <w:num w:numId="16">
    <w:abstractNumId w:val="15"/>
  </w:num>
  <w:num w:numId="17">
    <w:abstractNumId w:val="15"/>
  </w:num>
  <w:num w:numId="18">
    <w:abstractNumId w:val="5"/>
  </w:num>
  <w:num w:numId="19">
    <w:abstractNumId w:val="35"/>
  </w:num>
  <w:num w:numId="20">
    <w:abstractNumId w:val="23"/>
  </w:num>
  <w:num w:numId="21">
    <w:abstractNumId w:val="19"/>
  </w:num>
  <w:num w:numId="22">
    <w:abstractNumId w:val="26"/>
  </w:num>
  <w:num w:numId="23">
    <w:abstractNumId w:val="18"/>
  </w:num>
  <w:num w:numId="24">
    <w:abstractNumId w:val="13"/>
  </w:num>
  <w:num w:numId="25">
    <w:abstractNumId w:val="1"/>
  </w:num>
  <w:num w:numId="26">
    <w:abstractNumId w:val="8"/>
  </w:num>
  <w:num w:numId="27">
    <w:abstractNumId w:val="4"/>
  </w:num>
  <w:num w:numId="28">
    <w:abstractNumId w:val="31"/>
  </w:num>
  <w:num w:numId="29">
    <w:abstractNumId w:val="21"/>
  </w:num>
  <w:num w:numId="30">
    <w:abstractNumId w:val="12"/>
  </w:num>
  <w:num w:numId="31">
    <w:abstractNumId w:val="33"/>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4"/>
  </w:num>
  <w:num w:numId="36">
    <w:abstractNumId w:val="32"/>
  </w:num>
  <w:num w:numId="37">
    <w:abstractNumId w:val="6"/>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12C9"/>
    <w:rsid w:val="000E3E07"/>
    <w:rsid w:val="000E41C7"/>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F2255"/>
    <w:rsid w:val="001F28AD"/>
    <w:rsid w:val="001F59E2"/>
    <w:rsid w:val="001F6608"/>
    <w:rsid w:val="00204135"/>
    <w:rsid w:val="00205FD0"/>
    <w:rsid w:val="00206FBC"/>
    <w:rsid w:val="00210F85"/>
    <w:rsid w:val="00212094"/>
    <w:rsid w:val="00216362"/>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D34"/>
    <w:rsid w:val="00294CF5"/>
    <w:rsid w:val="00295D58"/>
    <w:rsid w:val="002A21C3"/>
    <w:rsid w:val="002A4DAE"/>
    <w:rsid w:val="002C2A53"/>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4D5E"/>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330BA"/>
    <w:rsid w:val="00442AF8"/>
    <w:rsid w:val="0044362B"/>
    <w:rsid w:val="00444E25"/>
    <w:rsid w:val="00445103"/>
    <w:rsid w:val="004471FF"/>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F51"/>
    <w:rsid w:val="004F2F98"/>
    <w:rsid w:val="004F338F"/>
    <w:rsid w:val="004F6CB3"/>
    <w:rsid w:val="00500DE9"/>
    <w:rsid w:val="00506BED"/>
    <w:rsid w:val="00515929"/>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44D"/>
    <w:rsid w:val="00561DF8"/>
    <w:rsid w:val="00577E46"/>
    <w:rsid w:val="005858BD"/>
    <w:rsid w:val="00592F6D"/>
    <w:rsid w:val="00594135"/>
    <w:rsid w:val="00594DBD"/>
    <w:rsid w:val="0059560F"/>
    <w:rsid w:val="005A1C34"/>
    <w:rsid w:val="005A44EE"/>
    <w:rsid w:val="005A7C75"/>
    <w:rsid w:val="005A7E24"/>
    <w:rsid w:val="005B09A2"/>
    <w:rsid w:val="005C4E4A"/>
    <w:rsid w:val="005C61AB"/>
    <w:rsid w:val="005D2077"/>
    <w:rsid w:val="005D3CE9"/>
    <w:rsid w:val="005D3D4C"/>
    <w:rsid w:val="005E2011"/>
    <w:rsid w:val="005E476D"/>
    <w:rsid w:val="005E47C3"/>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6C8F"/>
    <w:rsid w:val="007079EA"/>
    <w:rsid w:val="00715CAB"/>
    <w:rsid w:val="00721170"/>
    <w:rsid w:val="00721770"/>
    <w:rsid w:val="00723C2D"/>
    <w:rsid w:val="0072480B"/>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248D"/>
    <w:rsid w:val="007F479B"/>
    <w:rsid w:val="007F568C"/>
    <w:rsid w:val="007F62FC"/>
    <w:rsid w:val="007F6453"/>
    <w:rsid w:val="0080065C"/>
    <w:rsid w:val="008015A6"/>
    <w:rsid w:val="00801F8D"/>
    <w:rsid w:val="008049ED"/>
    <w:rsid w:val="008072AB"/>
    <w:rsid w:val="00811F54"/>
    <w:rsid w:val="00813930"/>
    <w:rsid w:val="00816630"/>
    <w:rsid w:val="00830D1B"/>
    <w:rsid w:val="008440B8"/>
    <w:rsid w:val="008604D6"/>
    <w:rsid w:val="00861EB7"/>
    <w:rsid w:val="00863301"/>
    <w:rsid w:val="0086560F"/>
    <w:rsid w:val="00865B7B"/>
    <w:rsid w:val="00867FD2"/>
    <w:rsid w:val="008744A8"/>
    <w:rsid w:val="008752C6"/>
    <w:rsid w:val="00877FEA"/>
    <w:rsid w:val="008823B4"/>
    <w:rsid w:val="0088321E"/>
    <w:rsid w:val="00895F4C"/>
    <w:rsid w:val="008A2994"/>
    <w:rsid w:val="008A5E2B"/>
    <w:rsid w:val="008B5D1E"/>
    <w:rsid w:val="008C7414"/>
    <w:rsid w:val="008C7E0C"/>
    <w:rsid w:val="008D09CD"/>
    <w:rsid w:val="008E5905"/>
    <w:rsid w:val="008F3354"/>
    <w:rsid w:val="008F4B9F"/>
    <w:rsid w:val="008F60EE"/>
    <w:rsid w:val="008F7988"/>
    <w:rsid w:val="00901553"/>
    <w:rsid w:val="00903ED7"/>
    <w:rsid w:val="00904EDB"/>
    <w:rsid w:val="009072AF"/>
    <w:rsid w:val="00914E47"/>
    <w:rsid w:val="00915AFA"/>
    <w:rsid w:val="00920A06"/>
    <w:rsid w:val="009267F9"/>
    <w:rsid w:val="00932782"/>
    <w:rsid w:val="0093311E"/>
    <w:rsid w:val="009442A7"/>
    <w:rsid w:val="00945127"/>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2604F"/>
    <w:rsid w:val="00C30BD5"/>
    <w:rsid w:val="00C314F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2517"/>
    <w:rsid w:val="00D02F16"/>
    <w:rsid w:val="00D04AE8"/>
    <w:rsid w:val="00D068DA"/>
    <w:rsid w:val="00D10CF3"/>
    <w:rsid w:val="00D1125A"/>
    <w:rsid w:val="00D123EF"/>
    <w:rsid w:val="00D1478E"/>
    <w:rsid w:val="00D15FF6"/>
    <w:rsid w:val="00D22BA6"/>
    <w:rsid w:val="00D2413B"/>
    <w:rsid w:val="00D32AE9"/>
    <w:rsid w:val="00D348B9"/>
    <w:rsid w:val="00D34CF3"/>
    <w:rsid w:val="00D36978"/>
    <w:rsid w:val="00D7144E"/>
    <w:rsid w:val="00D7221A"/>
    <w:rsid w:val="00D73A91"/>
    <w:rsid w:val="00D74EB9"/>
    <w:rsid w:val="00D75CBD"/>
    <w:rsid w:val="00D75DD4"/>
    <w:rsid w:val="00D75E75"/>
    <w:rsid w:val="00D77104"/>
    <w:rsid w:val="00D80571"/>
    <w:rsid w:val="00D90B67"/>
    <w:rsid w:val="00D9208B"/>
    <w:rsid w:val="00D95F20"/>
    <w:rsid w:val="00DA1A95"/>
    <w:rsid w:val="00DA3444"/>
    <w:rsid w:val="00DA4340"/>
    <w:rsid w:val="00DA4F3E"/>
    <w:rsid w:val="00DB78F7"/>
    <w:rsid w:val="00DC4B90"/>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5BB5"/>
    <w:rsid w:val="00F063B7"/>
    <w:rsid w:val="00F13D02"/>
    <w:rsid w:val="00F14BE7"/>
    <w:rsid w:val="00F16A14"/>
    <w:rsid w:val="00F17F6E"/>
    <w:rsid w:val="00F204CA"/>
    <w:rsid w:val="00F23432"/>
    <w:rsid w:val="00F2569D"/>
    <w:rsid w:val="00F27EA4"/>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116C8943-E1BE-402A-A7D8-87C37AD8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rsid w:val="00E37756"/>
    <w:rPr>
      <w:sz w:val="16"/>
      <w:szCs w:val="16"/>
    </w:rPr>
  </w:style>
  <w:style w:type="paragraph" w:styleId="Textkomente">
    <w:name w:val="annotation text"/>
    <w:basedOn w:val="Normln"/>
    <w:link w:val="TextkomenteChar"/>
    <w:rsid w:val="00E37756"/>
    <w:rPr>
      <w:sz w:val="20"/>
      <w:szCs w:val="20"/>
    </w:rPr>
  </w:style>
  <w:style w:type="character" w:customStyle="1" w:styleId="TextkomenteChar">
    <w:name w:val="Text komentáře Char"/>
    <w:basedOn w:val="Standardnpsmoodstavce"/>
    <w:link w:val="Textkomente"/>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sek\Desktop\2021\zpr&#225;vy\falza_2021\Grafy%20-%20po&#269;ty%20kus&#367;%20v&#253;robk&#367;%202020_falza_cel&#253;%20r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sek\Desktop\2020\Zpr&#225;vy_2020\Falza_zpr&#225;va_za%202019\Grafy%20-%20po&#269;ty%20kus&#367;%20v&#253;robk&#367;%202019_falza_cel&#253;%20r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List1!$B$3:$B$7</c:f>
              <c:strCache>
                <c:ptCount val="5"/>
                <c:pt idx="0">
                  <c:v>oděvy, textil</c:v>
                </c:pt>
                <c:pt idx="1">
                  <c:v>hračky, výrobky pro děti</c:v>
                </c:pt>
                <c:pt idx="2">
                  <c:v>audio</c:v>
                </c:pt>
                <c:pt idx="3">
                  <c:v>obuv, kožená galanterie</c:v>
                </c:pt>
                <c:pt idx="4">
                  <c:v>další druhy výrobků</c:v>
                </c:pt>
              </c:strCache>
            </c:strRef>
          </c:cat>
          <c:val>
            <c:numRef>
              <c:f>List1!$C$3:$C$7</c:f>
              <c:numCache>
                <c:formatCode>General</c:formatCode>
                <c:ptCount val="5"/>
                <c:pt idx="0">
                  <c:v>7509</c:v>
                </c:pt>
                <c:pt idx="1">
                  <c:v>7139</c:v>
                </c:pt>
                <c:pt idx="2">
                  <c:v>2820</c:v>
                </c:pt>
                <c:pt idx="3">
                  <c:v>1120</c:v>
                </c:pt>
                <c:pt idx="4">
                  <c:v>257</c:v>
                </c:pt>
              </c:numCache>
            </c:numRef>
          </c:val>
          <c:extLst>
            <c:ext xmlns:c16="http://schemas.microsoft.com/office/drawing/2014/chart" uri="{C3380CC4-5D6E-409C-BE32-E72D297353CC}">
              <c16:uniqueId val="{00000000-5646-438A-B849-5ACC719CCD1C}"/>
            </c:ext>
          </c:extLst>
        </c:ser>
        <c:dLbls>
          <c:showLegendKey val="0"/>
          <c:showVal val="0"/>
          <c:showCatName val="0"/>
          <c:showSerName val="0"/>
          <c:showPercent val="0"/>
          <c:showBubbleSize val="0"/>
        </c:dLbls>
        <c:gapWidth val="219"/>
        <c:overlap val="-27"/>
        <c:axId val="325622064"/>
        <c:axId val="325622392"/>
      </c:barChart>
      <c:catAx>
        <c:axId val="32562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5622392"/>
        <c:crosses val="autoZero"/>
        <c:auto val="1"/>
        <c:lblAlgn val="ctr"/>
        <c:lblOffset val="100"/>
        <c:noMultiLvlLbl val="0"/>
      </c:catAx>
      <c:valAx>
        <c:axId val="325622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5622064"/>
        <c:crosses val="autoZero"/>
        <c:crossBetween val="between"/>
      </c:valAx>
      <c:spPr>
        <a:noFill/>
        <a:ln>
          <a:noFill/>
        </a:ln>
        <a:effectLst/>
      </c:spPr>
    </c:plotArea>
    <c:plotVisOnly val="1"/>
    <c:dispBlanksAs val="gap"/>
    <c:showDLblsOverMax val="0"/>
  </c:chart>
  <c:spPr>
    <a:solidFill>
      <a:srgbClr val="FFFFCC"/>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029308836395445E-2"/>
          <c:y val="0.11342592592592593"/>
          <c:w val="0.6340798337707787"/>
          <c:h val="0.81481481481481477"/>
        </c:manualLayout>
      </c:layout>
      <c:pie3DChart>
        <c:varyColors val="1"/>
        <c:ser>
          <c:idx val="0"/>
          <c:order val="0"/>
          <c:explosion val="4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A6E-49AA-A40A-6E0663E17D9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A6E-49AA-A40A-6E0663E17D9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A6E-49AA-A40A-6E0663E17D9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A6E-49AA-A40A-6E0663E17D9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A6E-49AA-A40A-6E0663E17D90}"/>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9A6E-49AA-A40A-6E0663E17D9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9A6E-49AA-A40A-6E0663E17D9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9A6E-49AA-A40A-6E0663E17D9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9A6E-49AA-A40A-6E0663E17D9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9A6E-49AA-A40A-6E0663E17D90}"/>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9A6E-49AA-A40A-6E0663E17D90}"/>
              </c:ext>
            </c:extLst>
          </c:dPt>
          <c:dLbls>
            <c:dLbl>
              <c:idx val="0"/>
              <c:layout>
                <c:manualLayout>
                  <c:x val="-4.9757436570428699E-2"/>
                  <c:y val="-9.692986293379996E-2"/>
                </c:manualLayout>
              </c:layout>
              <c:tx>
                <c:rich>
                  <a:bodyPr/>
                  <a:lstStyle/>
                  <a:p>
                    <a:fld id="{8FD1AF03-AA13-4E54-8AD9-2B0AB7117455}"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A6E-49AA-A40A-6E0663E17D90}"/>
                </c:ext>
              </c:extLst>
            </c:dLbl>
            <c:dLbl>
              <c:idx val="1"/>
              <c:layout>
                <c:manualLayout>
                  <c:x val="-4.9367672790901138E-2"/>
                  <c:y val="7.2973899095946343E-2"/>
                </c:manualLayout>
              </c:layout>
              <c:tx>
                <c:rich>
                  <a:bodyPr/>
                  <a:lstStyle/>
                  <a:p>
                    <a:fld id="{07189FFA-9127-480D-984C-56FCF5C347DB}"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A6E-49AA-A40A-6E0663E17D90}"/>
                </c:ext>
              </c:extLst>
            </c:dLbl>
            <c:dLbl>
              <c:idx val="2"/>
              <c:layout>
                <c:manualLayout>
                  <c:x val="1.0552055993000875E-2"/>
                  <c:y val="2.0164041994750657E-2"/>
                </c:manualLayout>
              </c:layout>
              <c:tx>
                <c:rich>
                  <a:bodyPr/>
                  <a:lstStyle/>
                  <a:p>
                    <a:fld id="{4F493036-4243-4F6C-8F7C-79C3E01EEE6D}" type="VALUE">
                      <a:rPr lang="en-US"/>
                      <a:pPr/>
                      <a:t>[HODNOTA]</a:t>
                    </a:fld>
                    <a:r>
                      <a:rPr lang="en-US" baseline="0"/>
                      <a:t>;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A6E-49AA-A40A-6E0663E17D90}"/>
                </c:ext>
              </c:extLst>
            </c:dLbl>
            <c:dLbl>
              <c:idx val="3"/>
              <c:layout>
                <c:manualLayout>
                  <c:x val="-1.7709098862642169E-2"/>
                  <c:y val="4.1342592592592424E-2"/>
                </c:manualLayout>
              </c:layout>
              <c:tx>
                <c:rich>
                  <a:bodyPr/>
                  <a:lstStyle/>
                  <a:p>
                    <a:fld id="{32426F30-42FD-421E-A50E-6B0FFF268781}"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A6E-49AA-A40A-6E0663E17D90}"/>
                </c:ext>
              </c:extLst>
            </c:dLbl>
            <c:dLbl>
              <c:idx val="4"/>
              <c:layout>
                <c:manualLayout>
                  <c:x val="-1.1070866141732286E-2"/>
                  <c:y val="-5.4858559346748326E-2"/>
                </c:manualLayout>
              </c:layout>
              <c:tx>
                <c:rich>
                  <a:bodyPr/>
                  <a:lstStyle/>
                  <a:p>
                    <a:fld id="{D7DBD19A-372F-469D-A456-B0536C381171}"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A6E-49AA-A40A-6E0663E17D90}"/>
                </c:ext>
              </c:extLst>
            </c:dLbl>
            <c:dLbl>
              <c:idx val="5"/>
              <c:layout>
                <c:manualLayout>
                  <c:x val="-1.491907261592301E-3"/>
                  <c:y val="-2.2545202682997981E-2"/>
                </c:manualLayout>
              </c:layout>
              <c:tx>
                <c:rich>
                  <a:bodyPr/>
                  <a:lstStyle/>
                  <a:p>
                    <a:fld id="{28749FF1-A34B-494D-84B4-736D71CA99FF}"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A6E-49AA-A40A-6E0663E17D90}"/>
                </c:ext>
              </c:extLst>
            </c:dLbl>
            <c:dLbl>
              <c:idx val="6"/>
              <c:layout>
                <c:manualLayout>
                  <c:x val="-4.8615485564304714E-3"/>
                  <c:y val="-2.2258675998833477E-3"/>
                </c:manualLayout>
              </c:layout>
              <c:tx>
                <c:rich>
                  <a:bodyPr/>
                  <a:lstStyle/>
                  <a:p>
                    <a:fld id="{BE4A304F-7E56-475D-9E67-ED42F65C4865}"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A6E-49AA-A40A-6E0663E17D90}"/>
                </c:ext>
              </c:extLst>
            </c:dLbl>
            <c:dLbl>
              <c:idx val="7"/>
              <c:layout>
                <c:manualLayout>
                  <c:x val="6.7375328083988991E-3"/>
                  <c:y val="-1.5240594925634296E-2"/>
                </c:manualLayout>
              </c:layout>
              <c:tx>
                <c:rich>
                  <a:bodyPr/>
                  <a:lstStyle/>
                  <a:p>
                    <a:fld id="{6DE57A42-320F-4AB2-B771-7C579308832F}"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A6E-49AA-A40A-6E0663E17D90}"/>
                </c:ext>
              </c:extLst>
            </c:dLbl>
            <c:dLbl>
              <c:idx val="8"/>
              <c:layout>
                <c:manualLayout>
                  <c:x val="-1.3132983377077865E-2"/>
                  <c:y val="-1.2944736074657334E-2"/>
                </c:manualLayout>
              </c:layout>
              <c:tx>
                <c:rich>
                  <a:bodyPr/>
                  <a:lstStyle/>
                  <a:p>
                    <a:fld id="{7B7FEB5E-DF13-4E48-A967-A622633F90F0}"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A6E-49AA-A40A-6E0663E17D90}"/>
                </c:ext>
              </c:extLst>
            </c:dLbl>
            <c:dLbl>
              <c:idx val="9"/>
              <c:layout>
                <c:manualLayout>
                  <c:x val="-8.9242391998297504E-3"/>
                  <c:y val="-1.6518161036322088E-2"/>
                </c:manualLayout>
              </c:layout>
              <c:tx>
                <c:rich>
                  <a:bodyPr/>
                  <a:lstStyle/>
                  <a:p>
                    <a:fld id="{F7E6BC70-5564-460A-95A9-362CD9A40F82}"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9A6E-49AA-A40A-6E0663E17D90}"/>
                </c:ext>
              </c:extLst>
            </c:dLbl>
            <c:dLbl>
              <c:idx val="10"/>
              <c:layout>
                <c:manualLayout>
                  <c:x val="5.4424759405074363E-3"/>
                  <c:y val="-1.2164625255176446E-2"/>
                </c:manualLayout>
              </c:layout>
              <c:tx>
                <c:rich>
                  <a:bodyPr/>
                  <a:lstStyle/>
                  <a:p>
                    <a:fld id="{4A2B407C-8F53-46EA-A062-E263B4F1AE2C}" type="VALUE">
                      <a:rPr lang="en-US"/>
                      <a:pPr/>
                      <a:t>[HODNOTA]</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9A6E-49AA-A40A-6E0663E17D9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List1!$B$20:$B$30</c:f>
              <c:strCache>
                <c:ptCount val="11"/>
                <c:pt idx="0">
                  <c:v>Pokémon</c:v>
                </c:pt>
                <c:pt idx="1">
                  <c:v>Apple</c:v>
                </c:pt>
                <c:pt idx="2">
                  <c:v>Tommy Hilfiger</c:v>
                </c:pt>
                <c:pt idx="3">
                  <c:v>Volkswagen</c:v>
                </c:pt>
                <c:pt idx="4">
                  <c:v>BMW</c:v>
                </c:pt>
                <c:pt idx="5">
                  <c:v>Nike</c:v>
                </c:pt>
                <c:pt idx="6">
                  <c:v>Adidas</c:v>
                </c:pt>
                <c:pt idx="7">
                  <c:v>Hyundai</c:v>
                </c:pt>
                <c:pt idx="8">
                  <c:v>Calvin Klein</c:v>
                </c:pt>
                <c:pt idx="9">
                  <c:v>My little pony</c:v>
                </c:pt>
                <c:pt idx="10">
                  <c:v>Gucci</c:v>
                </c:pt>
              </c:strCache>
            </c:strRef>
          </c:cat>
          <c:val>
            <c:numRef>
              <c:f>List1!$C$20:$C$30</c:f>
              <c:numCache>
                <c:formatCode>General</c:formatCode>
                <c:ptCount val="11"/>
                <c:pt idx="0">
                  <c:v>1613</c:v>
                </c:pt>
                <c:pt idx="1">
                  <c:v>1260</c:v>
                </c:pt>
                <c:pt idx="2">
                  <c:v>1004</c:v>
                </c:pt>
                <c:pt idx="3">
                  <c:v>755</c:v>
                </c:pt>
                <c:pt idx="4">
                  <c:v>752</c:v>
                </c:pt>
                <c:pt idx="5">
                  <c:v>704</c:v>
                </c:pt>
                <c:pt idx="6">
                  <c:v>691</c:v>
                </c:pt>
                <c:pt idx="7">
                  <c:v>680</c:v>
                </c:pt>
                <c:pt idx="8">
                  <c:v>464</c:v>
                </c:pt>
                <c:pt idx="9">
                  <c:v>433</c:v>
                </c:pt>
                <c:pt idx="10">
                  <c:v>402</c:v>
                </c:pt>
              </c:numCache>
            </c:numRef>
          </c:val>
          <c:extLst>
            <c:ext xmlns:c16="http://schemas.microsoft.com/office/drawing/2014/chart" uri="{C3380CC4-5D6E-409C-BE32-E72D297353CC}">
              <c16:uniqueId val="{00000016-9A6E-49AA-A40A-6E0663E17D90}"/>
            </c:ext>
          </c:extLst>
        </c:ser>
        <c:dLbls>
          <c:dLblPos val="ctr"/>
          <c:showLegendKey val="0"/>
          <c:showVal val="0"/>
          <c:showCatName val="0"/>
          <c:showSerName val="0"/>
          <c:showPercent val="1"/>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B921-0177-45FE-9165-746B7DE9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497</Words>
  <Characters>2939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5</cp:revision>
  <cp:lastPrinted>2020-03-20T08:49:00Z</cp:lastPrinted>
  <dcterms:created xsi:type="dcterms:W3CDTF">2021-01-30T20:30:00Z</dcterms:created>
  <dcterms:modified xsi:type="dcterms:W3CDTF">2021-03-01T09:31:00Z</dcterms:modified>
</cp:coreProperties>
</file>