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3085"/>
        <w:gridCol w:w="6127"/>
      </w:tblGrid>
      <w:tr w:rsidR="002D7F03" w:rsidRPr="00B51F44" w14:paraId="47B791CE" w14:textId="77777777" w:rsidTr="002D7F03">
        <w:trPr>
          <w:trHeight w:val="907"/>
        </w:trPr>
        <w:tc>
          <w:tcPr>
            <w:tcW w:w="3085" w:type="dxa"/>
            <w:shd w:val="clear" w:color="auto" w:fill="auto"/>
          </w:tcPr>
          <w:p w14:paraId="09F54504" w14:textId="19D900EE" w:rsidR="002D7F03" w:rsidRPr="00B51F44" w:rsidRDefault="008072AB" w:rsidP="002D7F03">
            <w:pPr>
              <w:rPr>
                <w:rFonts w:ascii="Calibri" w:hAnsi="Calibri"/>
                <w:lang w:val="en-GB"/>
              </w:rPr>
            </w:pPr>
            <w:r w:rsidRPr="00B51F44">
              <w:rPr>
                <w:rFonts w:ascii="Calibri" w:hAnsi="Calibri"/>
                <w:noProof/>
                <w:lang w:val="en-GB"/>
              </w:rPr>
              <w:drawing>
                <wp:inline distT="0" distB="0" distL="0" distR="0" wp14:anchorId="26838B5C" wp14:editId="60618FDD">
                  <wp:extent cx="1911350" cy="577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r="14830"/>
                          <a:stretch>
                            <a:fillRect/>
                          </a:stretch>
                        </pic:blipFill>
                        <pic:spPr bwMode="auto">
                          <a:xfrm>
                            <a:off x="0" y="0"/>
                            <a:ext cx="1911350" cy="577850"/>
                          </a:xfrm>
                          <a:prstGeom prst="rect">
                            <a:avLst/>
                          </a:prstGeom>
                          <a:noFill/>
                          <a:ln>
                            <a:noFill/>
                          </a:ln>
                        </pic:spPr>
                      </pic:pic>
                    </a:graphicData>
                  </a:graphic>
                </wp:inline>
              </w:drawing>
            </w:r>
          </w:p>
        </w:tc>
        <w:tc>
          <w:tcPr>
            <w:tcW w:w="6127" w:type="dxa"/>
            <w:shd w:val="clear" w:color="auto" w:fill="D9D9D9"/>
            <w:vAlign w:val="center"/>
          </w:tcPr>
          <w:p w14:paraId="21655697" w14:textId="031711D3" w:rsidR="002D7F03" w:rsidRPr="00B51F44" w:rsidRDefault="00C37123" w:rsidP="002D7F03">
            <w:pPr>
              <w:jc w:val="center"/>
              <w:rPr>
                <w:rFonts w:ascii="Calibri" w:hAnsi="Calibri" w:cs="Arial"/>
                <w:b/>
                <w:sz w:val="56"/>
                <w:szCs w:val="56"/>
                <w:lang w:val="en-GB"/>
              </w:rPr>
            </w:pPr>
            <w:r w:rsidRPr="00B51F44">
              <w:rPr>
                <w:rFonts w:ascii="Calibri" w:hAnsi="Calibri" w:cs="Arial"/>
                <w:b/>
                <w:sz w:val="56"/>
                <w:szCs w:val="56"/>
                <w:lang w:val="en-GB"/>
              </w:rPr>
              <w:t>PRESS RELEASE</w:t>
            </w:r>
          </w:p>
        </w:tc>
      </w:tr>
    </w:tbl>
    <w:p w14:paraId="68617974" w14:textId="77777777" w:rsidR="004E047A" w:rsidRPr="00B51F44" w:rsidRDefault="004E047A" w:rsidP="00C54DF4">
      <w:pPr>
        <w:jc w:val="both"/>
        <w:rPr>
          <w:rFonts w:ascii="Calibri" w:hAnsi="Calibri"/>
          <w:sz w:val="22"/>
          <w:szCs w:val="22"/>
          <w:lang w:val="en-GB"/>
        </w:rPr>
      </w:pPr>
    </w:p>
    <w:p w14:paraId="759C14DC" w14:textId="75F65817" w:rsidR="002C35EB" w:rsidRPr="00B51F44" w:rsidRDefault="001F1BC1" w:rsidP="002C35EB">
      <w:pPr>
        <w:spacing w:before="120"/>
        <w:jc w:val="both"/>
        <w:rPr>
          <w:rFonts w:ascii="Calibri" w:hAnsi="Calibri" w:cs="Arial"/>
          <w:b/>
          <w:color w:val="0070C0"/>
          <w:sz w:val="32"/>
          <w:szCs w:val="32"/>
          <w:lang w:val="en-GB"/>
        </w:rPr>
      </w:pPr>
      <w:r w:rsidRPr="00B51F44">
        <w:rPr>
          <w:rFonts w:ascii="Calibri" w:hAnsi="Calibri" w:cs="Arial"/>
          <w:b/>
          <w:color w:val="0070C0"/>
          <w:sz w:val="32"/>
          <w:szCs w:val="32"/>
          <w:lang w:val="en-GB"/>
        </w:rPr>
        <w:t xml:space="preserve">More than </w:t>
      </w:r>
      <w:r w:rsidR="00F03B49" w:rsidRPr="00B51F44">
        <w:rPr>
          <w:rFonts w:ascii="Calibri" w:hAnsi="Calibri" w:cs="Arial"/>
          <w:b/>
          <w:color w:val="0070C0"/>
          <w:sz w:val="32"/>
          <w:szCs w:val="32"/>
          <w:lang w:val="en-GB"/>
        </w:rPr>
        <w:t>70</w:t>
      </w:r>
      <w:r w:rsidR="002C35EB" w:rsidRPr="00B51F44">
        <w:rPr>
          <w:rFonts w:ascii="Calibri" w:hAnsi="Calibri" w:cs="Arial"/>
          <w:b/>
          <w:color w:val="0070C0"/>
          <w:sz w:val="32"/>
          <w:szCs w:val="32"/>
          <w:lang w:val="en-GB"/>
        </w:rPr>
        <w:t xml:space="preserve">% </w:t>
      </w:r>
      <w:r w:rsidRPr="00B51F44">
        <w:rPr>
          <w:rFonts w:ascii="Calibri" w:hAnsi="Calibri" w:cs="Arial"/>
          <w:b/>
          <w:color w:val="0070C0"/>
          <w:sz w:val="32"/>
          <w:szCs w:val="32"/>
          <w:lang w:val="en-GB"/>
        </w:rPr>
        <w:t>of inspected e-shops breached law in 2020</w:t>
      </w:r>
    </w:p>
    <w:p w14:paraId="0C12A436" w14:textId="6E9030BB" w:rsidR="002C35EB" w:rsidRPr="00B51F44" w:rsidRDefault="002C35EB" w:rsidP="002C35EB">
      <w:pPr>
        <w:spacing w:after="120"/>
        <w:jc w:val="both"/>
        <w:rPr>
          <w:rFonts w:ascii="Calibri" w:hAnsi="Calibri" w:cs="Arial"/>
          <w:b/>
          <w:color w:val="0070C0"/>
          <w:sz w:val="32"/>
          <w:szCs w:val="32"/>
          <w:lang w:val="en-GB"/>
        </w:rPr>
      </w:pPr>
      <w:r w:rsidRPr="00B51F44">
        <w:rPr>
          <w:rFonts w:asciiTheme="minorHAnsi" w:hAnsiTheme="minorHAnsi" w:cstheme="minorHAnsi"/>
          <w:i/>
          <w:lang w:val="en-GB"/>
        </w:rPr>
        <w:t>(</w:t>
      </w:r>
      <w:r w:rsidR="001F1BC1" w:rsidRPr="00B51F44">
        <w:rPr>
          <w:rFonts w:asciiTheme="minorHAnsi" w:hAnsiTheme="minorHAnsi" w:cstheme="minorHAnsi"/>
          <w:i/>
          <w:lang w:val="en-GB"/>
        </w:rPr>
        <w:t>Final report of</w:t>
      </w:r>
      <w:r w:rsidRPr="00B51F44">
        <w:rPr>
          <w:rFonts w:asciiTheme="minorHAnsi" w:hAnsiTheme="minorHAnsi" w:cstheme="minorHAnsi"/>
          <w:i/>
          <w:lang w:val="en-GB"/>
        </w:rPr>
        <w:t xml:space="preserve"> 2020)</w:t>
      </w:r>
    </w:p>
    <w:p w14:paraId="7E81D0A7" w14:textId="363BE1C9" w:rsidR="001F1BC1" w:rsidRPr="00B51F44" w:rsidRDefault="00AC5225" w:rsidP="001F1BC1">
      <w:pPr>
        <w:spacing w:before="120" w:after="120" w:line="276" w:lineRule="auto"/>
        <w:jc w:val="both"/>
        <w:rPr>
          <w:rFonts w:asciiTheme="minorHAnsi" w:hAnsiTheme="minorHAnsi" w:cstheme="minorHAnsi"/>
          <w:b/>
          <w:sz w:val="22"/>
          <w:szCs w:val="22"/>
          <w:lang w:val="en-GB"/>
        </w:rPr>
      </w:pPr>
      <w:r w:rsidRPr="00B51F44">
        <w:rPr>
          <w:rFonts w:asciiTheme="minorHAnsi" w:hAnsiTheme="minorHAnsi" w:cstheme="minorHAnsi"/>
          <w:b/>
          <w:i/>
          <w:sz w:val="22"/>
          <w:szCs w:val="22"/>
          <w:lang w:val="en-GB"/>
        </w:rPr>
        <w:t>(</w:t>
      </w:r>
      <w:r w:rsidR="0093311E" w:rsidRPr="00B51F44">
        <w:rPr>
          <w:rFonts w:asciiTheme="minorHAnsi" w:hAnsiTheme="minorHAnsi" w:cstheme="minorHAnsi"/>
          <w:b/>
          <w:i/>
          <w:sz w:val="22"/>
          <w:szCs w:val="22"/>
          <w:lang w:val="en-GB"/>
        </w:rPr>
        <w:t>Pra</w:t>
      </w:r>
      <w:r w:rsidR="001F1BC1" w:rsidRPr="00B51F44">
        <w:rPr>
          <w:rFonts w:asciiTheme="minorHAnsi" w:hAnsiTheme="minorHAnsi" w:cstheme="minorHAnsi"/>
          <w:b/>
          <w:i/>
          <w:sz w:val="22"/>
          <w:szCs w:val="22"/>
          <w:lang w:val="en-GB"/>
        </w:rPr>
        <w:t>gue</w:t>
      </w:r>
      <w:r w:rsidR="001676F1" w:rsidRPr="00B51F44">
        <w:rPr>
          <w:rFonts w:asciiTheme="minorHAnsi" w:hAnsiTheme="minorHAnsi" w:cstheme="minorHAnsi"/>
          <w:b/>
          <w:i/>
          <w:sz w:val="22"/>
          <w:szCs w:val="22"/>
          <w:lang w:val="en-GB"/>
        </w:rPr>
        <w:t xml:space="preserve">, </w:t>
      </w:r>
      <w:r w:rsidR="00AF3AD6" w:rsidRPr="00B51F44">
        <w:rPr>
          <w:rFonts w:asciiTheme="minorHAnsi" w:hAnsiTheme="minorHAnsi" w:cstheme="minorHAnsi"/>
          <w:b/>
          <w:i/>
          <w:sz w:val="22"/>
          <w:szCs w:val="22"/>
          <w:lang w:val="en-GB"/>
        </w:rPr>
        <w:t>2</w:t>
      </w:r>
      <w:r w:rsidR="002C35EB" w:rsidRPr="00B51F44">
        <w:rPr>
          <w:rFonts w:asciiTheme="minorHAnsi" w:hAnsiTheme="minorHAnsi" w:cstheme="minorHAnsi"/>
          <w:b/>
          <w:i/>
          <w:sz w:val="22"/>
          <w:szCs w:val="22"/>
          <w:lang w:val="en-GB"/>
        </w:rPr>
        <w:t>6</w:t>
      </w:r>
      <w:r w:rsidR="001F1BC1" w:rsidRPr="00B51F44">
        <w:rPr>
          <w:rFonts w:asciiTheme="minorHAnsi" w:hAnsiTheme="minorHAnsi" w:cstheme="minorHAnsi"/>
          <w:b/>
          <w:i/>
          <w:sz w:val="22"/>
          <w:szCs w:val="22"/>
          <w:lang w:val="en-GB"/>
        </w:rPr>
        <w:t xml:space="preserve"> February</w:t>
      </w:r>
      <w:r w:rsidR="00DA3444" w:rsidRPr="00B51F44">
        <w:rPr>
          <w:rFonts w:asciiTheme="minorHAnsi" w:hAnsiTheme="minorHAnsi" w:cstheme="minorHAnsi"/>
          <w:b/>
          <w:i/>
          <w:sz w:val="22"/>
          <w:szCs w:val="22"/>
          <w:lang w:val="en-GB"/>
        </w:rPr>
        <w:t xml:space="preserve"> 202</w:t>
      </w:r>
      <w:r w:rsidR="000B5C40" w:rsidRPr="00B51F44">
        <w:rPr>
          <w:rFonts w:asciiTheme="minorHAnsi" w:hAnsiTheme="minorHAnsi" w:cstheme="minorHAnsi"/>
          <w:b/>
          <w:i/>
          <w:sz w:val="22"/>
          <w:szCs w:val="22"/>
          <w:lang w:val="en-GB"/>
        </w:rPr>
        <w:t>1</w:t>
      </w:r>
      <w:r w:rsidR="00CE0241" w:rsidRPr="00B51F44">
        <w:rPr>
          <w:rFonts w:asciiTheme="minorHAnsi" w:hAnsiTheme="minorHAnsi" w:cstheme="minorHAnsi"/>
          <w:b/>
          <w:i/>
          <w:sz w:val="22"/>
          <w:szCs w:val="22"/>
          <w:lang w:val="en-GB"/>
        </w:rPr>
        <w:t>)</w:t>
      </w:r>
      <w:r w:rsidRPr="00B51F44">
        <w:rPr>
          <w:rFonts w:asciiTheme="minorHAnsi" w:hAnsiTheme="minorHAnsi" w:cstheme="minorHAnsi"/>
          <w:b/>
          <w:sz w:val="22"/>
          <w:szCs w:val="22"/>
          <w:lang w:val="en-GB"/>
        </w:rPr>
        <w:t xml:space="preserve"> </w:t>
      </w:r>
      <w:r w:rsidR="001F1BC1" w:rsidRPr="00B51F44">
        <w:rPr>
          <w:rFonts w:asciiTheme="minorHAnsi" w:hAnsiTheme="minorHAnsi" w:cstheme="minorHAnsi"/>
          <w:b/>
          <w:sz w:val="22"/>
          <w:szCs w:val="22"/>
          <w:lang w:val="en-GB"/>
        </w:rPr>
        <w:t>The Czech Trade Ins</w:t>
      </w:r>
      <w:r w:rsidR="001F1BC1" w:rsidRPr="00B51F44">
        <w:rPr>
          <w:rFonts w:asciiTheme="minorHAnsi" w:hAnsiTheme="minorHAnsi" w:cstheme="minorHAnsi"/>
          <w:b/>
          <w:sz w:val="22"/>
          <w:szCs w:val="22"/>
          <w:lang w:val="en-GB"/>
        </w:rPr>
        <w:t xml:space="preserve">pection Authority evaluated inspections aimed at the compliance with legal regulations </w:t>
      </w:r>
      <w:r w:rsidR="001F1BC1" w:rsidRPr="00B51F44">
        <w:rPr>
          <w:rFonts w:asciiTheme="minorHAnsi" w:hAnsiTheme="minorHAnsi" w:cstheme="minorHAnsi"/>
          <w:b/>
          <w:sz w:val="22"/>
          <w:szCs w:val="22"/>
          <w:lang w:val="en-GB"/>
        </w:rPr>
        <w:t>on the supply and sale of goods over the Internet</w:t>
      </w:r>
      <w:r w:rsidR="001F1BC1" w:rsidRPr="00B51F44">
        <w:rPr>
          <w:rFonts w:asciiTheme="minorHAnsi" w:hAnsiTheme="minorHAnsi" w:cstheme="minorHAnsi"/>
          <w:b/>
          <w:sz w:val="22"/>
          <w:szCs w:val="22"/>
          <w:lang w:val="en-GB"/>
        </w:rPr>
        <w:t xml:space="preserve"> in 2020</w:t>
      </w:r>
      <w:r w:rsidR="001F1BC1" w:rsidRPr="00B51F44">
        <w:rPr>
          <w:rFonts w:asciiTheme="minorHAnsi" w:hAnsiTheme="minorHAnsi" w:cstheme="minorHAnsi"/>
          <w:b/>
          <w:sz w:val="22"/>
          <w:szCs w:val="22"/>
          <w:lang w:val="en-GB"/>
        </w:rPr>
        <w:t xml:space="preserve">. In total, it carried out 1,144 inspections and detected violations in 809 </w:t>
      </w:r>
      <w:r w:rsidR="001F1BC1" w:rsidRPr="00B51F44">
        <w:rPr>
          <w:rFonts w:asciiTheme="minorHAnsi" w:hAnsiTheme="minorHAnsi" w:cstheme="minorHAnsi"/>
          <w:b/>
          <w:sz w:val="22"/>
          <w:szCs w:val="22"/>
          <w:lang w:val="en-GB"/>
        </w:rPr>
        <w:t>cases</w:t>
      </w:r>
      <w:r w:rsidR="001F1BC1" w:rsidRPr="00B51F44">
        <w:rPr>
          <w:rFonts w:asciiTheme="minorHAnsi" w:hAnsiTheme="minorHAnsi" w:cstheme="minorHAnsi"/>
          <w:b/>
          <w:sz w:val="22"/>
          <w:szCs w:val="22"/>
          <w:lang w:val="en-GB"/>
        </w:rPr>
        <w:t xml:space="preserve">, or 70.7%. </w:t>
      </w:r>
      <w:r w:rsidR="001F1BC1" w:rsidRPr="00B51F44">
        <w:rPr>
          <w:rFonts w:asciiTheme="minorHAnsi" w:hAnsiTheme="minorHAnsi" w:cstheme="minorHAnsi"/>
          <w:b/>
          <w:i/>
          <w:sz w:val="22"/>
          <w:szCs w:val="22"/>
          <w:lang w:val="en-GB"/>
        </w:rPr>
        <w:t xml:space="preserve">"The results of the 2020 inspections reaffirmed that the area of internet sales is one of those forms of trading in which consumer legislation is largely violated. Traders often use unfair and deceptive </w:t>
      </w:r>
      <w:r w:rsidR="001F1BC1" w:rsidRPr="00B51F44">
        <w:rPr>
          <w:rFonts w:asciiTheme="minorHAnsi" w:hAnsiTheme="minorHAnsi" w:cstheme="minorHAnsi"/>
          <w:b/>
          <w:i/>
          <w:sz w:val="22"/>
          <w:szCs w:val="22"/>
          <w:lang w:val="en-GB"/>
        </w:rPr>
        <w:t>commercial</w:t>
      </w:r>
      <w:r w:rsidR="001F1BC1" w:rsidRPr="00B51F44">
        <w:rPr>
          <w:rFonts w:asciiTheme="minorHAnsi" w:hAnsiTheme="minorHAnsi" w:cstheme="minorHAnsi"/>
          <w:b/>
          <w:i/>
          <w:sz w:val="22"/>
          <w:szCs w:val="22"/>
          <w:lang w:val="en-GB"/>
        </w:rPr>
        <w:t xml:space="preserve"> practices and do not inform con</w:t>
      </w:r>
      <w:r w:rsidR="001F1BC1" w:rsidRPr="00B51F44">
        <w:rPr>
          <w:rFonts w:asciiTheme="minorHAnsi" w:hAnsiTheme="minorHAnsi" w:cstheme="minorHAnsi"/>
          <w:b/>
          <w:i/>
          <w:sz w:val="22"/>
          <w:szCs w:val="22"/>
          <w:lang w:val="en-GB"/>
        </w:rPr>
        <w:t>sumers about the conditions of claims and how to make a claim</w:t>
      </w:r>
      <w:r w:rsidR="001F1BC1" w:rsidRPr="00B51F44">
        <w:rPr>
          <w:rFonts w:asciiTheme="minorHAnsi" w:hAnsiTheme="minorHAnsi" w:cstheme="minorHAnsi"/>
          <w:b/>
          <w:i/>
          <w:sz w:val="22"/>
          <w:szCs w:val="22"/>
          <w:lang w:val="en-GB"/>
        </w:rPr>
        <w:t>,"</w:t>
      </w:r>
      <w:r w:rsidR="001F1BC1" w:rsidRPr="00B51F44">
        <w:rPr>
          <w:rFonts w:asciiTheme="minorHAnsi" w:hAnsiTheme="minorHAnsi" w:cstheme="minorHAnsi"/>
          <w:b/>
          <w:sz w:val="22"/>
          <w:szCs w:val="22"/>
          <w:lang w:val="en-GB"/>
        </w:rPr>
        <w:t xml:space="preserve"> says </w:t>
      </w:r>
      <w:proofErr w:type="spellStart"/>
      <w:r w:rsidR="001F1BC1" w:rsidRPr="00B51F44">
        <w:rPr>
          <w:rFonts w:asciiTheme="minorHAnsi" w:hAnsiTheme="minorHAnsi" w:cstheme="minorHAnsi"/>
          <w:b/>
          <w:sz w:val="22"/>
          <w:szCs w:val="22"/>
          <w:lang w:val="en-GB"/>
        </w:rPr>
        <w:t>Mojmír</w:t>
      </w:r>
      <w:proofErr w:type="spellEnd"/>
      <w:r w:rsidR="001F1BC1" w:rsidRPr="00B51F44">
        <w:rPr>
          <w:rFonts w:asciiTheme="minorHAnsi" w:hAnsiTheme="minorHAnsi" w:cstheme="minorHAnsi"/>
          <w:b/>
          <w:sz w:val="22"/>
          <w:szCs w:val="22"/>
          <w:lang w:val="en-GB"/>
        </w:rPr>
        <w:t xml:space="preserve"> </w:t>
      </w:r>
      <w:proofErr w:type="spellStart"/>
      <w:r w:rsidR="001F1BC1" w:rsidRPr="00B51F44">
        <w:rPr>
          <w:rFonts w:asciiTheme="minorHAnsi" w:hAnsiTheme="minorHAnsi" w:cstheme="minorHAnsi"/>
          <w:b/>
          <w:sz w:val="22"/>
          <w:szCs w:val="22"/>
          <w:lang w:val="en-GB"/>
        </w:rPr>
        <w:t>Bezecný</w:t>
      </w:r>
      <w:proofErr w:type="spellEnd"/>
      <w:r w:rsidR="001F1BC1" w:rsidRPr="00B51F44">
        <w:rPr>
          <w:rFonts w:asciiTheme="minorHAnsi" w:hAnsiTheme="minorHAnsi" w:cstheme="minorHAnsi"/>
          <w:b/>
          <w:sz w:val="22"/>
          <w:szCs w:val="22"/>
          <w:lang w:val="en-GB"/>
        </w:rPr>
        <w:t xml:space="preserve">, </w:t>
      </w:r>
      <w:r w:rsidR="001F1BC1" w:rsidRPr="00B51F44">
        <w:rPr>
          <w:rFonts w:asciiTheme="minorHAnsi" w:hAnsiTheme="minorHAnsi" w:cstheme="minorHAnsi"/>
          <w:b/>
          <w:sz w:val="22"/>
          <w:szCs w:val="22"/>
          <w:lang w:val="en-GB"/>
        </w:rPr>
        <w:t>CTIA</w:t>
      </w:r>
      <w:r w:rsidR="001F1BC1" w:rsidRPr="00B51F44">
        <w:rPr>
          <w:rFonts w:asciiTheme="minorHAnsi" w:hAnsiTheme="minorHAnsi" w:cstheme="minorHAnsi"/>
          <w:b/>
          <w:sz w:val="22"/>
          <w:szCs w:val="22"/>
          <w:lang w:val="en-GB"/>
        </w:rPr>
        <w:t xml:space="preserve"> Director, on the results of inspections.</w:t>
      </w:r>
      <w:r w:rsidR="000E6B22" w:rsidRPr="00B51F44">
        <w:rPr>
          <w:rFonts w:asciiTheme="minorHAnsi" w:hAnsiTheme="minorHAnsi" w:cstheme="minorHAnsi"/>
          <w:b/>
          <w:sz w:val="22"/>
          <w:szCs w:val="22"/>
          <w:lang w:val="en-GB"/>
        </w:rPr>
        <w:t xml:space="preserve"> </w:t>
      </w:r>
    </w:p>
    <w:p w14:paraId="2456ECCE" w14:textId="03469EB5" w:rsidR="001F1BC1" w:rsidRPr="00B51F44" w:rsidRDefault="001F1BC1" w:rsidP="001F1BC1">
      <w:pPr>
        <w:pStyle w:val="Default"/>
        <w:spacing w:before="120" w:after="120" w:line="276" w:lineRule="auto"/>
        <w:jc w:val="both"/>
        <w:rPr>
          <w:rFonts w:asciiTheme="minorHAnsi" w:hAnsiTheme="minorHAnsi" w:cstheme="minorHAnsi"/>
          <w:sz w:val="22"/>
          <w:szCs w:val="22"/>
          <w:lang w:val="en-GB"/>
        </w:rPr>
      </w:pPr>
      <w:r w:rsidRPr="00B51F44">
        <w:rPr>
          <w:rFonts w:asciiTheme="minorHAnsi" w:hAnsiTheme="minorHAnsi" w:cstheme="minorHAnsi"/>
          <w:sz w:val="22"/>
          <w:szCs w:val="22"/>
          <w:lang w:val="en-GB"/>
        </w:rPr>
        <w:t xml:space="preserve">During 2020, the Czech Trade Inspection Authority carried out 1,144 inspections of e-shops. The aim was to </w:t>
      </w:r>
      <w:r w:rsidR="005B23B0" w:rsidRPr="00B51F44">
        <w:rPr>
          <w:rFonts w:asciiTheme="minorHAnsi" w:hAnsiTheme="minorHAnsi" w:cstheme="minorHAnsi"/>
          <w:sz w:val="22"/>
          <w:szCs w:val="22"/>
          <w:lang w:val="en-GB"/>
        </w:rPr>
        <w:t>inspect the</w:t>
      </w:r>
      <w:r w:rsidRPr="00B51F44">
        <w:rPr>
          <w:rFonts w:asciiTheme="minorHAnsi" w:hAnsiTheme="minorHAnsi" w:cstheme="minorHAnsi"/>
          <w:sz w:val="22"/>
          <w:szCs w:val="22"/>
          <w:lang w:val="en-GB"/>
        </w:rPr>
        <w:t xml:space="preserve"> compliance with obligations arising </w:t>
      </w:r>
      <w:r w:rsidR="000E6B22" w:rsidRPr="00B51F44">
        <w:rPr>
          <w:rFonts w:asciiTheme="minorHAnsi" w:hAnsiTheme="minorHAnsi" w:cstheme="minorHAnsi"/>
          <w:sz w:val="22"/>
          <w:szCs w:val="22"/>
          <w:lang w:val="en-GB"/>
        </w:rPr>
        <w:t>to</w:t>
      </w:r>
      <w:r w:rsidRPr="00B51F44">
        <w:rPr>
          <w:rFonts w:asciiTheme="minorHAnsi" w:hAnsiTheme="minorHAnsi" w:cstheme="minorHAnsi"/>
          <w:sz w:val="22"/>
          <w:szCs w:val="22"/>
          <w:lang w:val="en-GB"/>
        </w:rPr>
        <w:t xml:space="preserve"> the seller, in particular from Act No. 634/1992 Coll., on Consumer Protection, but also other legislation within the </w:t>
      </w:r>
      <w:r w:rsidR="000E6B22" w:rsidRPr="00B51F44">
        <w:rPr>
          <w:rFonts w:asciiTheme="minorHAnsi" w:hAnsiTheme="minorHAnsi" w:cstheme="minorHAnsi"/>
          <w:sz w:val="22"/>
          <w:szCs w:val="22"/>
          <w:lang w:val="en-GB"/>
        </w:rPr>
        <w:t>surveillance</w:t>
      </w:r>
      <w:r w:rsidRPr="00B51F44">
        <w:rPr>
          <w:rFonts w:asciiTheme="minorHAnsi" w:hAnsiTheme="minorHAnsi" w:cstheme="minorHAnsi"/>
          <w:sz w:val="22"/>
          <w:szCs w:val="22"/>
          <w:lang w:val="en-GB"/>
        </w:rPr>
        <w:t xml:space="preserve"> scope of the Czech Trade Inspection Authority. It identified deficiencies in 809 inspections, representing 70</w:t>
      </w:r>
      <w:r w:rsidR="000E6B22" w:rsidRPr="00B51F44">
        <w:rPr>
          <w:rFonts w:asciiTheme="minorHAnsi" w:hAnsiTheme="minorHAnsi" w:cstheme="minorHAnsi"/>
          <w:sz w:val="22"/>
          <w:szCs w:val="22"/>
          <w:lang w:val="en-GB"/>
        </w:rPr>
        <w:t>.</w:t>
      </w:r>
      <w:r w:rsidRPr="00B51F44">
        <w:rPr>
          <w:rFonts w:asciiTheme="minorHAnsi" w:hAnsiTheme="minorHAnsi" w:cstheme="minorHAnsi"/>
          <w:sz w:val="22"/>
          <w:szCs w:val="22"/>
          <w:lang w:val="en-GB"/>
        </w:rPr>
        <w:t xml:space="preserve">7 % of the total number </w:t>
      </w:r>
      <w:r w:rsidR="000E6B22" w:rsidRPr="00B51F44">
        <w:rPr>
          <w:rFonts w:asciiTheme="minorHAnsi" w:hAnsiTheme="minorHAnsi" w:cstheme="minorHAnsi"/>
          <w:sz w:val="22"/>
          <w:szCs w:val="22"/>
          <w:lang w:val="en-GB"/>
        </w:rPr>
        <w:t>of inspections</w:t>
      </w:r>
      <w:r w:rsidRPr="00B51F44">
        <w:rPr>
          <w:rFonts w:asciiTheme="minorHAnsi" w:hAnsiTheme="minorHAnsi" w:cstheme="minorHAnsi"/>
          <w:sz w:val="22"/>
          <w:szCs w:val="22"/>
          <w:lang w:val="en-GB"/>
        </w:rPr>
        <w:t xml:space="preserve"> carried out.</w:t>
      </w:r>
    </w:p>
    <w:p w14:paraId="447B746A" w14:textId="6250C6AD" w:rsidR="000E6B22" w:rsidRPr="00B51F44" w:rsidRDefault="000E6B22" w:rsidP="000E6B22">
      <w:pPr>
        <w:pStyle w:val="Default"/>
        <w:spacing w:before="120" w:after="120" w:line="276" w:lineRule="auto"/>
        <w:jc w:val="both"/>
        <w:rPr>
          <w:rFonts w:asciiTheme="minorHAnsi" w:hAnsiTheme="minorHAnsi" w:cstheme="minorHAnsi"/>
          <w:spacing w:val="2"/>
          <w:sz w:val="22"/>
          <w:szCs w:val="22"/>
          <w:lang w:val="en-GB" w:eastAsia="cs-CZ"/>
        </w:rPr>
      </w:pPr>
      <w:r w:rsidRPr="00B51F44">
        <w:rPr>
          <w:rFonts w:asciiTheme="minorHAnsi" w:hAnsiTheme="minorHAnsi" w:cstheme="minorHAnsi"/>
          <w:spacing w:val="2"/>
          <w:sz w:val="22"/>
          <w:szCs w:val="22"/>
          <w:lang w:val="en-GB" w:eastAsia="cs-CZ"/>
        </w:rPr>
        <w:t xml:space="preserve">In the past year, </w:t>
      </w:r>
      <w:r w:rsidRPr="00B51F44">
        <w:rPr>
          <w:rFonts w:asciiTheme="minorHAnsi" w:hAnsiTheme="minorHAnsi" w:cstheme="minorHAnsi"/>
          <w:spacing w:val="2"/>
          <w:sz w:val="22"/>
          <w:szCs w:val="22"/>
          <w:lang w:val="en-GB" w:eastAsia="cs-CZ"/>
        </w:rPr>
        <w:t>CTIA</w:t>
      </w:r>
      <w:r w:rsidRPr="00B51F44">
        <w:rPr>
          <w:rFonts w:asciiTheme="minorHAnsi" w:hAnsiTheme="minorHAnsi" w:cstheme="minorHAnsi"/>
          <w:spacing w:val="2"/>
          <w:sz w:val="22"/>
          <w:szCs w:val="22"/>
          <w:lang w:val="en-GB" w:eastAsia="cs-CZ"/>
        </w:rPr>
        <w:t xml:space="preserve"> also responded to the increased interest of consume</w:t>
      </w:r>
      <w:r w:rsidRPr="00B51F44">
        <w:rPr>
          <w:rFonts w:asciiTheme="minorHAnsi" w:hAnsiTheme="minorHAnsi" w:cstheme="minorHAnsi"/>
          <w:spacing w:val="2"/>
          <w:sz w:val="22"/>
          <w:szCs w:val="22"/>
          <w:lang w:val="en-GB" w:eastAsia="cs-CZ"/>
        </w:rPr>
        <w:t>rs in e-commerce, which was</w:t>
      </w:r>
      <w:r w:rsidRPr="00B51F44">
        <w:rPr>
          <w:rFonts w:asciiTheme="minorHAnsi" w:hAnsiTheme="minorHAnsi" w:cstheme="minorHAnsi"/>
          <w:spacing w:val="2"/>
          <w:sz w:val="22"/>
          <w:szCs w:val="22"/>
          <w:lang w:val="en-GB" w:eastAsia="cs-CZ"/>
        </w:rPr>
        <w:t xml:space="preserve"> partly affected by the </w:t>
      </w:r>
      <w:proofErr w:type="gramStart"/>
      <w:r w:rsidRPr="00B51F44">
        <w:rPr>
          <w:rFonts w:asciiTheme="minorHAnsi" w:hAnsiTheme="minorHAnsi" w:cstheme="minorHAnsi"/>
          <w:spacing w:val="2"/>
          <w:sz w:val="22"/>
          <w:szCs w:val="22"/>
          <w:lang w:val="en-GB" w:eastAsia="cs-CZ"/>
        </w:rPr>
        <w:t>emergency situation</w:t>
      </w:r>
      <w:proofErr w:type="gramEnd"/>
      <w:r w:rsidRPr="00B51F44">
        <w:rPr>
          <w:rFonts w:asciiTheme="minorHAnsi" w:hAnsiTheme="minorHAnsi" w:cstheme="minorHAnsi"/>
          <w:spacing w:val="2"/>
          <w:sz w:val="22"/>
          <w:szCs w:val="22"/>
          <w:lang w:val="en-GB" w:eastAsia="cs-CZ"/>
        </w:rPr>
        <w:t xml:space="preserve"> caused by the covid-19 outbreak. A significant part of the </w:t>
      </w:r>
      <w:r w:rsidR="00DC3008" w:rsidRPr="00B51F44">
        <w:rPr>
          <w:rFonts w:asciiTheme="minorHAnsi" w:hAnsiTheme="minorHAnsi" w:cstheme="minorHAnsi"/>
          <w:spacing w:val="2"/>
          <w:sz w:val="22"/>
          <w:szCs w:val="22"/>
          <w:lang w:val="en-GB" w:eastAsia="cs-CZ"/>
        </w:rPr>
        <w:t>ordinary</w:t>
      </w:r>
      <w:r w:rsidRPr="00B51F44">
        <w:rPr>
          <w:rFonts w:asciiTheme="minorHAnsi" w:hAnsiTheme="minorHAnsi" w:cstheme="minorHAnsi"/>
          <w:spacing w:val="2"/>
          <w:sz w:val="22"/>
          <w:szCs w:val="22"/>
          <w:lang w:val="en-GB" w:eastAsia="cs-CZ"/>
        </w:rPr>
        <w:t xml:space="preserve"> stores were closed, so some retailers responded by transferring their business to new online stores.</w:t>
      </w:r>
    </w:p>
    <w:p w14:paraId="114BC82D" w14:textId="78C9D821" w:rsidR="000E6B22" w:rsidRPr="00B51F44" w:rsidRDefault="000E6B22" w:rsidP="000E6B22">
      <w:pPr>
        <w:pStyle w:val="Default"/>
        <w:spacing w:before="120" w:after="120" w:line="276" w:lineRule="auto"/>
        <w:jc w:val="both"/>
        <w:rPr>
          <w:rFonts w:asciiTheme="minorHAnsi" w:hAnsiTheme="minorHAnsi" w:cstheme="minorHAnsi"/>
          <w:spacing w:val="2"/>
          <w:sz w:val="22"/>
          <w:szCs w:val="22"/>
          <w:lang w:val="en-GB" w:eastAsia="cs-CZ"/>
        </w:rPr>
      </w:pPr>
      <w:r w:rsidRPr="00B51F44">
        <w:rPr>
          <w:rFonts w:asciiTheme="minorHAnsi" w:hAnsiTheme="minorHAnsi" w:cstheme="minorHAnsi"/>
          <w:spacing w:val="2"/>
          <w:sz w:val="22"/>
          <w:szCs w:val="22"/>
          <w:lang w:val="en-GB" w:eastAsia="cs-CZ"/>
        </w:rPr>
        <w:t>With interest in buying over the Internet, the number of consumer complaints</w:t>
      </w:r>
      <w:r w:rsidR="00DC3008" w:rsidRPr="00B51F44">
        <w:rPr>
          <w:rFonts w:asciiTheme="minorHAnsi" w:hAnsiTheme="minorHAnsi" w:cstheme="minorHAnsi"/>
          <w:spacing w:val="2"/>
          <w:sz w:val="22"/>
          <w:szCs w:val="22"/>
          <w:lang w:val="en-GB" w:eastAsia="cs-CZ"/>
        </w:rPr>
        <w:t xml:space="preserve"> </w:t>
      </w:r>
      <w:r w:rsidR="00DC3008" w:rsidRPr="00B51F44">
        <w:rPr>
          <w:rFonts w:asciiTheme="minorHAnsi" w:hAnsiTheme="minorHAnsi" w:cstheme="minorHAnsi"/>
          <w:spacing w:val="2"/>
          <w:sz w:val="22"/>
          <w:szCs w:val="22"/>
          <w:lang w:val="en-GB" w:eastAsia="cs-CZ"/>
        </w:rPr>
        <w:t>also increased</w:t>
      </w:r>
      <w:r w:rsidRPr="00B51F44">
        <w:rPr>
          <w:rFonts w:asciiTheme="minorHAnsi" w:hAnsiTheme="minorHAnsi" w:cstheme="minorHAnsi"/>
          <w:spacing w:val="2"/>
          <w:sz w:val="22"/>
          <w:szCs w:val="22"/>
          <w:lang w:val="en-GB" w:eastAsia="cs-CZ"/>
        </w:rPr>
        <w:t>, mainly relat</w:t>
      </w:r>
      <w:r w:rsidR="00DC3008" w:rsidRPr="00B51F44">
        <w:rPr>
          <w:rFonts w:asciiTheme="minorHAnsi" w:hAnsiTheme="minorHAnsi" w:cstheme="minorHAnsi"/>
          <w:spacing w:val="2"/>
          <w:sz w:val="22"/>
          <w:szCs w:val="22"/>
          <w:lang w:val="en-GB" w:eastAsia="cs-CZ"/>
        </w:rPr>
        <w:t>ing</w:t>
      </w:r>
      <w:r w:rsidRPr="00B51F44">
        <w:rPr>
          <w:rFonts w:asciiTheme="minorHAnsi" w:hAnsiTheme="minorHAnsi" w:cstheme="minorHAnsi"/>
          <w:spacing w:val="2"/>
          <w:sz w:val="22"/>
          <w:szCs w:val="22"/>
          <w:lang w:val="en-GB" w:eastAsia="cs-CZ"/>
        </w:rPr>
        <w:t xml:space="preserve"> to </w:t>
      </w:r>
      <w:r w:rsidR="00DC3008" w:rsidRPr="00B51F44">
        <w:rPr>
          <w:rFonts w:asciiTheme="minorHAnsi" w:hAnsiTheme="minorHAnsi" w:cstheme="minorHAnsi"/>
          <w:spacing w:val="2"/>
          <w:sz w:val="22"/>
          <w:szCs w:val="22"/>
          <w:lang w:val="en-GB" w:eastAsia="cs-CZ"/>
        </w:rPr>
        <w:t>claims</w:t>
      </w:r>
      <w:r w:rsidRPr="00B51F44">
        <w:rPr>
          <w:rFonts w:asciiTheme="minorHAnsi" w:hAnsiTheme="minorHAnsi" w:cstheme="minorHAnsi"/>
          <w:spacing w:val="2"/>
          <w:sz w:val="22"/>
          <w:szCs w:val="22"/>
          <w:lang w:val="en-GB" w:eastAsia="cs-CZ"/>
        </w:rPr>
        <w:t xml:space="preserve">, withdrawal from the contract, as well as the quality of products </w:t>
      </w:r>
      <w:r w:rsidR="00DC3008" w:rsidRPr="00B51F44">
        <w:rPr>
          <w:rFonts w:asciiTheme="minorHAnsi" w:hAnsiTheme="minorHAnsi" w:cstheme="minorHAnsi"/>
          <w:spacing w:val="2"/>
          <w:sz w:val="22"/>
          <w:szCs w:val="22"/>
          <w:lang w:val="en-GB" w:eastAsia="cs-CZ"/>
        </w:rPr>
        <w:t>as well as</w:t>
      </w:r>
      <w:r w:rsidRPr="00B51F44">
        <w:rPr>
          <w:rFonts w:asciiTheme="minorHAnsi" w:hAnsiTheme="minorHAnsi" w:cstheme="minorHAnsi"/>
          <w:spacing w:val="2"/>
          <w:sz w:val="22"/>
          <w:szCs w:val="22"/>
          <w:lang w:val="en-GB" w:eastAsia="cs-CZ"/>
        </w:rPr>
        <w:t xml:space="preserve"> the delivery of products o</w:t>
      </w:r>
      <w:r w:rsidR="00DC3008" w:rsidRPr="00B51F44">
        <w:rPr>
          <w:rFonts w:asciiTheme="minorHAnsi" w:hAnsiTheme="minorHAnsi" w:cstheme="minorHAnsi"/>
          <w:spacing w:val="2"/>
          <w:sz w:val="22"/>
          <w:szCs w:val="22"/>
          <w:lang w:val="en-GB" w:eastAsia="cs-CZ"/>
        </w:rPr>
        <w:t>f a quality other than expected</w:t>
      </w:r>
      <w:r w:rsidRPr="00B51F44">
        <w:rPr>
          <w:rFonts w:asciiTheme="minorHAnsi" w:hAnsiTheme="minorHAnsi" w:cstheme="minorHAnsi"/>
          <w:spacing w:val="2"/>
          <w:sz w:val="22"/>
          <w:szCs w:val="22"/>
          <w:lang w:val="en-GB" w:eastAsia="cs-CZ"/>
        </w:rPr>
        <w:t>.</w:t>
      </w:r>
    </w:p>
    <w:p w14:paraId="7C9976ED" w14:textId="4730C9AC" w:rsidR="00DC3008" w:rsidRPr="00B51F44" w:rsidRDefault="00DC3008" w:rsidP="00DC3008">
      <w:pPr>
        <w:pStyle w:val="Default"/>
        <w:spacing w:before="120" w:after="120" w:line="276" w:lineRule="auto"/>
        <w:jc w:val="both"/>
        <w:rPr>
          <w:rFonts w:asciiTheme="minorHAnsi" w:hAnsiTheme="minorHAnsi" w:cstheme="minorHAnsi"/>
          <w:sz w:val="22"/>
          <w:szCs w:val="22"/>
          <w:lang w:val="en-GB"/>
        </w:rPr>
      </w:pPr>
      <w:r w:rsidRPr="00B51F44">
        <w:rPr>
          <w:rFonts w:asciiTheme="minorHAnsi" w:hAnsiTheme="minorHAnsi" w:cstheme="minorHAnsi"/>
          <w:sz w:val="22"/>
          <w:szCs w:val="22"/>
          <w:lang w:val="en-GB"/>
        </w:rPr>
        <w:t>S</w:t>
      </w:r>
      <w:r w:rsidRPr="00B51F44">
        <w:rPr>
          <w:rFonts w:asciiTheme="minorHAnsi" w:hAnsiTheme="minorHAnsi" w:cstheme="minorHAnsi"/>
          <w:sz w:val="22"/>
          <w:szCs w:val="22"/>
          <w:lang w:val="en-GB"/>
        </w:rPr>
        <w:t xml:space="preserve">hortcomings identified in the inspections of online shops consisted, in particular, in the non-disclosure of important information necessary for withdrawal from the purchase contract. Furthermore, non-information about the scope, conditions and method of making a complaint together with information about where the </w:t>
      </w:r>
      <w:r w:rsidR="00A226B1" w:rsidRPr="00B51F44">
        <w:rPr>
          <w:rFonts w:asciiTheme="minorHAnsi" w:hAnsiTheme="minorHAnsi" w:cstheme="minorHAnsi"/>
          <w:sz w:val="22"/>
          <w:szCs w:val="22"/>
          <w:lang w:val="en-GB"/>
        </w:rPr>
        <w:t>claim</w:t>
      </w:r>
      <w:r w:rsidRPr="00B51F44">
        <w:rPr>
          <w:rFonts w:asciiTheme="minorHAnsi" w:hAnsiTheme="minorHAnsi" w:cstheme="minorHAnsi"/>
          <w:sz w:val="22"/>
          <w:szCs w:val="22"/>
          <w:lang w:val="en-GB"/>
        </w:rPr>
        <w:t xml:space="preserve"> can be made. Internet retailers also failed to inform in many cases about the possibility of out-of-court settlement of consumer disputes. Some e-shops lacked proper information about products in terms of their declared characteristics and recommended safe use methods. Very often these are t</w:t>
      </w:r>
      <w:r w:rsidR="00A226B1" w:rsidRPr="00B51F44">
        <w:rPr>
          <w:rFonts w:asciiTheme="minorHAnsi" w:hAnsiTheme="minorHAnsi" w:cstheme="minorHAnsi"/>
          <w:sz w:val="22"/>
          <w:szCs w:val="22"/>
          <w:lang w:val="en-GB"/>
        </w:rPr>
        <w:t>he same online shops that the CTIA</w:t>
      </w:r>
      <w:r w:rsidRPr="00B51F44">
        <w:rPr>
          <w:rFonts w:asciiTheme="minorHAnsi" w:hAnsiTheme="minorHAnsi" w:cstheme="minorHAnsi"/>
          <w:sz w:val="22"/>
          <w:szCs w:val="22"/>
          <w:lang w:val="en-GB"/>
        </w:rPr>
        <w:t xml:space="preserve"> </w:t>
      </w:r>
      <w:r w:rsidR="003B0C51" w:rsidRPr="00B51F44">
        <w:rPr>
          <w:rFonts w:asciiTheme="minorHAnsi" w:hAnsiTheme="minorHAnsi" w:cstheme="minorHAnsi"/>
          <w:sz w:val="22"/>
          <w:szCs w:val="22"/>
          <w:lang w:val="en-GB"/>
        </w:rPr>
        <w:t xml:space="preserve">had </w:t>
      </w:r>
      <w:r w:rsidRPr="00B51F44">
        <w:rPr>
          <w:rFonts w:asciiTheme="minorHAnsi" w:hAnsiTheme="minorHAnsi" w:cstheme="minorHAnsi"/>
          <w:sz w:val="22"/>
          <w:szCs w:val="22"/>
          <w:lang w:val="en-GB"/>
        </w:rPr>
        <w:t>already inspected in the past</w:t>
      </w:r>
      <w:r w:rsidR="00A226B1" w:rsidRPr="00B51F44">
        <w:rPr>
          <w:rFonts w:asciiTheme="minorHAnsi" w:hAnsiTheme="minorHAnsi" w:cstheme="minorHAnsi"/>
          <w:sz w:val="22"/>
          <w:szCs w:val="22"/>
          <w:lang w:val="en-GB"/>
        </w:rPr>
        <w:t>, findi</w:t>
      </w:r>
      <w:bookmarkStart w:id="0" w:name="_GoBack"/>
      <w:bookmarkEnd w:id="0"/>
      <w:r w:rsidR="00A226B1" w:rsidRPr="00B51F44">
        <w:rPr>
          <w:rFonts w:asciiTheme="minorHAnsi" w:hAnsiTheme="minorHAnsi" w:cstheme="minorHAnsi"/>
          <w:sz w:val="22"/>
          <w:szCs w:val="22"/>
          <w:lang w:val="en-GB"/>
        </w:rPr>
        <w:t>ng</w:t>
      </w:r>
      <w:r w:rsidRPr="00B51F44">
        <w:rPr>
          <w:rFonts w:asciiTheme="minorHAnsi" w:hAnsiTheme="minorHAnsi" w:cstheme="minorHAnsi"/>
          <w:sz w:val="22"/>
          <w:szCs w:val="22"/>
          <w:lang w:val="en-GB"/>
        </w:rPr>
        <w:t xml:space="preserve"> that they d</w:t>
      </w:r>
      <w:r w:rsidR="003B0C51" w:rsidRPr="00B51F44">
        <w:rPr>
          <w:rFonts w:asciiTheme="minorHAnsi" w:hAnsiTheme="minorHAnsi" w:cstheme="minorHAnsi"/>
          <w:sz w:val="22"/>
          <w:szCs w:val="22"/>
          <w:lang w:val="en-GB"/>
        </w:rPr>
        <w:t>id</w:t>
      </w:r>
      <w:r w:rsidRPr="00B51F44">
        <w:rPr>
          <w:rFonts w:asciiTheme="minorHAnsi" w:hAnsiTheme="minorHAnsi" w:cstheme="minorHAnsi"/>
          <w:sz w:val="22"/>
          <w:szCs w:val="22"/>
          <w:lang w:val="en-GB"/>
        </w:rPr>
        <w:t xml:space="preserve"> not comply with the legal </w:t>
      </w:r>
      <w:r w:rsidR="003B0C51" w:rsidRPr="00B51F44">
        <w:rPr>
          <w:rFonts w:asciiTheme="minorHAnsi" w:hAnsiTheme="minorHAnsi" w:cstheme="minorHAnsi"/>
          <w:sz w:val="22"/>
          <w:szCs w:val="22"/>
          <w:lang w:val="en-GB"/>
        </w:rPr>
        <w:t>requirements</w:t>
      </w:r>
      <w:r w:rsidRPr="00B51F44">
        <w:rPr>
          <w:rFonts w:asciiTheme="minorHAnsi" w:hAnsiTheme="minorHAnsi" w:cstheme="minorHAnsi"/>
          <w:sz w:val="22"/>
          <w:szCs w:val="22"/>
          <w:lang w:val="en-GB"/>
        </w:rPr>
        <w:t xml:space="preserve">. </w:t>
      </w:r>
    </w:p>
    <w:p w14:paraId="1DF3B66F" w14:textId="0138A297" w:rsidR="00DC3008" w:rsidRPr="00B51F44" w:rsidRDefault="003B0C51" w:rsidP="00DC3008">
      <w:pPr>
        <w:pStyle w:val="Default"/>
        <w:spacing w:before="120" w:after="120" w:line="276" w:lineRule="auto"/>
        <w:jc w:val="both"/>
        <w:rPr>
          <w:rFonts w:asciiTheme="minorHAnsi" w:hAnsiTheme="minorHAnsi" w:cstheme="minorHAnsi"/>
          <w:sz w:val="22"/>
          <w:szCs w:val="22"/>
          <w:lang w:val="en-GB"/>
        </w:rPr>
      </w:pPr>
      <w:r w:rsidRPr="00B51F44">
        <w:rPr>
          <w:rFonts w:asciiTheme="minorHAnsi" w:hAnsiTheme="minorHAnsi" w:cstheme="minorHAnsi"/>
          <w:sz w:val="22"/>
          <w:szCs w:val="22"/>
          <w:lang w:val="en-GB"/>
        </w:rPr>
        <w:t>For</w:t>
      </w:r>
      <w:r w:rsidR="00DC3008" w:rsidRPr="00B51F44">
        <w:rPr>
          <w:rFonts w:asciiTheme="minorHAnsi" w:hAnsiTheme="minorHAnsi" w:cstheme="minorHAnsi"/>
          <w:sz w:val="22"/>
          <w:szCs w:val="22"/>
          <w:lang w:val="en-GB"/>
        </w:rPr>
        <w:t xml:space="preserve"> the </w:t>
      </w:r>
      <w:r w:rsidRPr="00B51F44">
        <w:rPr>
          <w:rFonts w:asciiTheme="minorHAnsi" w:hAnsiTheme="minorHAnsi" w:cstheme="minorHAnsi"/>
          <w:sz w:val="22"/>
          <w:szCs w:val="22"/>
          <w:lang w:val="en-GB"/>
        </w:rPr>
        <w:t>targeting of the inspections, the CTIA</w:t>
      </w:r>
      <w:r w:rsidR="00DC3008" w:rsidRPr="00B51F44">
        <w:rPr>
          <w:rFonts w:asciiTheme="minorHAnsi" w:hAnsiTheme="minorHAnsi" w:cstheme="minorHAnsi"/>
          <w:sz w:val="22"/>
          <w:szCs w:val="22"/>
          <w:lang w:val="en-GB"/>
        </w:rPr>
        <w:t xml:space="preserve"> uses </w:t>
      </w:r>
      <w:r w:rsidRPr="00B51F44">
        <w:rPr>
          <w:rFonts w:asciiTheme="minorHAnsi" w:hAnsiTheme="minorHAnsi" w:cstheme="minorHAnsi"/>
          <w:sz w:val="22"/>
          <w:szCs w:val="22"/>
          <w:lang w:val="en-GB"/>
        </w:rPr>
        <w:t>numerous consumer suggestions</w:t>
      </w:r>
      <w:r w:rsidRPr="00B51F44">
        <w:rPr>
          <w:rFonts w:asciiTheme="minorHAnsi" w:hAnsiTheme="minorHAnsi" w:cstheme="minorHAnsi"/>
          <w:sz w:val="22"/>
          <w:szCs w:val="22"/>
          <w:lang w:val="en-GB"/>
        </w:rPr>
        <w:t xml:space="preserve"> and </w:t>
      </w:r>
      <w:r w:rsidR="00DC3008" w:rsidRPr="00B51F44">
        <w:rPr>
          <w:rFonts w:asciiTheme="minorHAnsi" w:hAnsiTheme="minorHAnsi" w:cstheme="minorHAnsi"/>
          <w:sz w:val="22"/>
          <w:szCs w:val="22"/>
          <w:lang w:val="en-GB"/>
        </w:rPr>
        <w:t xml:space="preserve">its own monitoring of e-shops, in which </w:t>
      </w:r>
      <w:r w:rsidRPr="00B51F44">
        <w:rPr>
          <w:rFonts w:asciiTheme="minorHAnsi" w:hAnsiTheme="minorHAnsi" w:cstheme="minorHAnsi"/>
          <w:sz w:val="22"/>
          <w:szCs w:val="22"/>
          <w:lang w:val="en-GB"/>
        </w:rPr>
        <w:t xml:space="preserve">it selects sellers </w:t>
      </w:r>
      <w:r w:rsidR="00DC3008" w:rsidRPr="00B51F44">
        <w:rPr>
          <w:rFonts w:asciiTheme="minorHAnsi" w:hAnsiTheme="minorHAnsi" w:cstheme="minorHAnsi"/>
          <w:sz w:val="22"/>
          <w:szCs w:val="22"/>
          <w:lang w:val="en-GB"/>
        </w:rPr>
        <w:t xml:space="preserve"> whose websites </w:t>
      </w:r>
      <w:r w:rsidRPr="00B51F44">
        <w:rPr>
          <w:rFonts w:asciiTheme="minorHAnsi" w:hAnsiTheme="minorHAnsi" w:cstheme="minorHAnsi"/>
          <w:sz w:val="22"/>
          <w:szCs w:val="22"/>
          <w:lang w:val="en-GB"/>
        </w:rPr>
        <w:t>to inspect based on</w:t>
      </w:r>
      <w:r w:rsidR="00DC3008" w:rsidRPr="00B51F44">
        <w:rPr>
          <w:rFonts w:asciiTheme="minorHAnsi" w:hAnsiTheme="minorHAnsi" w:cstheme="minorHAnsi"/>
          <w:sz w:val="22"/>
          <w:szCs w:val="22"/>
          <w:lang w:val="en-GB"/>
        </w:rPr>
        <w:t xml:space="preserve"> signs of possible infringements,.</w:t>
      </w:r>
    </w:p>
    <w:p w14:paraId="3DD8C928" w14:textId="77777777" w:rsidR="002C35EB" w:rsidRPr="00B51F44" w:rsidRDefault="002C35EB" w:rsidP="002C35EB">
      <w:pPr>
        <w:jc w:val="both"/>
        <w:rPr>
          <w:rFonts w:asciiTheme="minorHAnsi" w:hAnsiTheme="minorHAnsi" w:cstheme="minorHAnsi"/>
          <w:sz w:val="22"/>
          <w:szCs w:val="22"/>
          <w:lang w:val="en-GB"/>
        </w:rPr>
      </w:pPr>
    </w:p>
    <w:tbl>
      <w:tblPr>
        <w:tblW w:w="9091" w:type="dxa"/>
        <w:tblCellMar>
          <w:left w:w="70" w:type="dxa"/>
          <w:right w:w="70" w:type="dxa"/>
        </w:tblCellMar>
        <w:tblLook w:val="04A0" w:firstRow="1" w:lastRow="0" w:firstColumn="1" w:lastColumn="0" w:noHBand="0" w:noVBand="1"/>
      </w:tblPr>
      <w:tblGrid>
        <w:gridCol w:w="3392"/>
        <w:gridCol w:w="1808"/>
        <w:gridCol w:w="1795"/>
        <w:gridCol w:w="2096"/>
      </w:tblGrid>
      <w:tr w:rsidR="002C35EB" w:rsidRPr="00B51F44" w14:paraId="39460433" w14:textId="77777777" w:rsidTr="003B0C51">
        <w:trPr>
          <w:trHeight w:val="309"/>
        </w:trPr>
        <w:tc>
          <w:tcPr>
            <w:tcW w:w="3392" w:type="dxa"/>
            <w:vMerge w:val="restart"/>
            <w:tcBorders>
              <w:top w:val="single" w:sz="8" w:space="0" w:color="auto"/>
              <w:left w:val="single" w:sz="8" w:space="0" w:color="auto"/>
              <w:bottom w:val="double" w:sz="6" w:space="0" w:color="000000"/>
              <w:right w:val="single" w:sz="4" w:space="0" w:color="auto"/>
            </w:tcBorders>
            <w:shd w:val="clear" w:color="000000" w:fill="C5D9F1"/>
            <w:noWrap/>
            <w:vAlign w:val="center"/>
            <w:hideMark/>
          </w:tcPr>
          <w:p w14:paraId="40A9C83E" w14:textId="66D59497" w:rsidR="002C35EB" w:rsidRPr="00B51F44" w:rsidRDefault="003B0C51" w:rsidP="002C35EB">
            <w:pPr>
              <w:jc w:val="center"/>
              <w:rPr>
                <w:rFonts w:asciiTheme="minorHAnsi" w:hAnsiTheme="minorHAnsi" w:cstheme="minorHAnsi"/>
                <w:b/>
                <w:bCs/>
                <w:color w:val="000000"/>
                <w:sz w:val="22"/>
                <w:szCs w:val="22"/>
                <w:lang w:val="en-GB"/>
              </w:rPr>
            </w:pPr>
            <w:r w:rsidRPr="00B51F44">
              <w:rPr>
                <w:rFonts w:asciiTheme="minorHAnsi" w:hAnsiTheme="minorHAnsi" w:cstheme="minorHAnsi"/>
                <w:b/>
                <w:bCs/>
                <w:color w:val="000000"/>
                <w:sz w:val="22"/>
                <w:szCs w:val="22"/>
                <w:lang w:val="en-GB"/>
              </w:rPr>
              <w:lastRenderedPageBreak/>
              <w:t>Inspectorate</w:t>
            </w:r>
          </w:p>
        </w:tc>
        <w:tc>
          <w:tcPr>
            <w:tcW w:w="1808" w:type="dxa"/>
            <w:vMerge w:val="restart"/>
            <w:tcBorders>
              <w:top w:val="single" w:sz="8" w:space="0" w:color="auto"/>
              <w:left w:val="single" w:sz="4" w:space="0" w:color="auto"/>
              <w:bottom w:val="double" w:sz="6" w:space="0" w:color="000000"/>
              <w:right w:val="single" w:sz="4" w:space="0" w:color="auto"/>
            </w:tcBorders>
            <w:shd w:val="clear" w:color="000000" w:fill="C5D9F1"/>
            <w:noWrap/>
            <w:vAlign w:val="center"/>
            <w:hideMark/>
          </w:tcPr>
          <w:p w14:paraId="4C73BBA7" w14:textId="126DE1B7" w:rsidR="002C35EB" w:rsidRPr="00B51F44" w:rsidRDefault="003B0C51" w:rsidP="002C35EB">
            <w:pPr>
              <w:jc w:val="center"/>
              <w:rPr>
                <w:rFonts w:asciiTheme="minorHAnsi" w:hAnsiTheme="minorHAnsi" w:cstheme="minorHAnsi"/>
                <w:b/>
                <w:bCs/>
                <w:color w:val="000000"/>
                <w:sz w:val="22"/>
                <w:szCs w:val="22"/>
                <w:lang w:val="en-GB"/>
              </w:rPr>
            </w:pPr>
            <w:r w:rsidRPr="00B51F44">
              <w:rPr>
                <w:rFonts w:asciiTheme="minorHAnsi" w:hAnsiTheme="minorHAnsi" w:cstheme="minorHAnsi"/>
                <w:b/>
                <w:bCs/>
                <w:color w:val="000000"/>
                <w:sz w:val="22"/>
                <w:szCs w:val="22"/>
                <w:lang w:val="en-GB"/>
              </w:rPr>
              <w:t>Number of inspections</w:t>
            </w:r>
          </w:p>
        </w:tc>
        <w:tc>
          <w:tcPr>
            <w:tcW w:w="1795" w:type="dxa"/>
            <w:vMerge w:val="restart"/>
            <w:tcBorders>
              <w:top w:val="single" w:sz="8" w:space="0" w:color="auto"/>
              <w:left w:val="single" w:sz="4" w:space="0" w:color="auto"/>
              <w:bottom w:val="double" w:sz="6" w:space="0" w:color="000000"/>
              <w:right w:val="nil"/>
            </w:tcBorders>
            <w:shd w:val="clear" w:color="000000" w:fill="C5D9F1"/>
            <w:noWrap/>
            <w:vAlign w:val="center"/>
            <w:hideMark/>
          </w:tcPr>
          <w:p w14:paraId="0EF2DA4D" w14:textId="657D040A" w:rsidR="002C35EB" w:rsidRPr="00B51F44" w:rsidRDefault="003B0C51" w:rsidP="002C35EB">
            <w:pPr>
              <w:jc w:val="center"/>
              <w:rPr>
                <w:rFonts w:asciiTheme="minorHAnsi" w:hAnsiTheme="minorHAnsi" w:cstheme="minorHAnsi"/>
                <w:b/>
                <w:bCs/>
                <w:color w:val="000000"/>
                <w:sz w:val="22"/>
                <w:szCs w:val="22"/>
                <w:lang w:val="en-GB"/>
              </w:rPr>
            </w:pPr>
            <w:r w:rsidRPr="00B51F44">
              <w:rPr>
                <w:rFonts w:asciiTheme="minorHAnsi" w:hAnsiTheme="minorHAnsi" w:cstheme="minorHAnsi"/>
                <w:b/>
                <w:bCs/>
                <w:color w:val="000000"/>
                <w:sz w:val="22"/>
                <w:szCs w:val="22"/>
                <w:lang w:val="en-GB"/>
              </w:rPr>
              <w:t>Inspections with findings</w:t>
            </w:r>
          </w:p>
        </w:tc>
        <w:tc>
          <w:tcPr>
            <w:tcW w:w="2096" w:type="dxa"/>
            <w:vMerge w:val="restart"/>
            <w:tcBorders>
              <w:top w:val="single" w:sz="8" w:space="0" w:color="auto"/>
              <w:left w:val="single" w:sz="4" w:space="0" w:color="auto"/>
              <w:bottom w:val="double" w:sz="6" w:space="0" w:color="000000"/>
              <w:right w:val="single" w:sz="8" w:space="0" w:color="auto"/>
            </w:tcBorders>
            <w:shd w:val="clear" w:color="000000" w:fill="C5D9F1"/>
            <w:noWrap/>
            <w:vAlign w:val="center"/>
            <w:hideMark/>
          </w:tcPr>
          <w:p w14:paraId="15AD6D47" w14:textId="5E6E5E64" w:rsidR="002C35EB" w:rsidRPr="00B51F44" w:rsidRDefault="003B0C51" w:rsidP="002C35EB">
            <w:pPr>
              <w:jc w:val="center"/>
              <w:rPr>
                <w:rFonts w:asciiTheme="minorHAnsi" w:hAnsiTheme="minorHAnsi" w:cstheme="minorHAnsi"/>
                <w:b/>
                <w:bCs/>
                <w:color w:val="000000"/>
                <w:sz w:val="22"/>
                <w:szCs w:val="22"/>
                <w:lang w:val="en-GB"/>
              </w:rPr>
            </w:pPr>
            <w:r w:rsidRPr="00B51F44">
              <w:rPr>
                <w:rFonts w:asciiTheme="minorHAnsi" w:hAnsiTheme="minorHAnsi" w:cstheme="minorHAnsi"/>
                <w:b/>
                <w:bCs/>
                <w:color w:val="000000"/>
                <w:sz w:val="22"/>
                <w:szCs w:val="22"/>
                <w:lang w:val="en-GB"/>
              </w:rPr>
              <w:t xml:space="preserve">Findings in </w:t>
            </w:r>
            <w:r w:rsidR="002C35EB" w:rsidRPr="00B51F44">
              <w:rPr>
                <w:rFonts w:asciiTheme="minorHAnsi" w:hAnsiTheme="minorHAnsi" w:cstheme="minorHAnsi"/>
                <w:b/>
                <w:bCs/>
                <w:color w:val="000000"/>
                <w:sz w:val="22"/>
                <w:szCs w:val="22"/>
                <w:lang w:val="en-GB"/>
              </w:rPr>
              <w:t xml:space="preserve">% </w:t>
            </w:r>
          </w:p>
        </w:tc>
      </w:tr>
      <w:tr w:rsidR="002C35EB" w:rsidRPr="00B51F44" w14:paraId="4DB595FF" w14:textId="77777777" w:rsidTr="003B0C51">
        <w:trPr>
          <w:trHeight w:val="509"/>
        </w:trPr>
        <w:tc>
          <w:tcPr>
            <w:tcW w:w="3392" w:type="dxa"/>
            <w:vMerge/>
            <w:tcBorders>
              <w:top w:val="single" w:sz="8" w:space="0" w:color="auto"/>
              <w:left w:val="single" w:sz="8" w:space="0" w:color="auto"/>
              <w:bottom w:val="double" w:sz="6" w:space="0" w:color="000000"/>
              <w:right w:val="single" w:sz="4" w:space="0" w:color="auto"/>
            </w:tcBorders>
            <w:vAlign w:val="center"/>
            <w:hideMark/>
          </w:tcPr>
          <w:p w14:paraId="4E1BF656" w14:textId="77777777" w:rsidR="002C35EB" w:rsidRPr="00B51F44" w:rsidRDefault="002C35EB" w:rsidP="002C35EB">
            <w:pPr>
              <w:rPr>
                <w:rFonts w:asciiTheme="minorHAnsi" w:hAnsiTheme="minorHAnsi" w:cstheme="minorHAnsi"/>
                <w:b/>
                <w:bCs/>
                <w:color w:val="000000"/>
                <w:sz w:val="22"/>
                <w:szCs w:val="22"/>
                <w:lang w:val="en-GB"/>
              </w:rPr>
            </w:pPr>
          </w:p>
        </w:tc>
        <w:tc>
          <w:tcPr>
            <w:tcW w:w="1808" w:type="dxa"/>
            <w:vMerge/>
            <w:tcBorders>
              <w:top w:val="single" w:sz="8" w:space="0" w:color="auto"/>
              <w:left w:val="single" w:sz="4" w:space="0" w:color="auto"/>
              <w:bottom w:val="double" w:sz="6" w:space="0" w:color="000000"/>
              <w:right w:val="single" w:sz="4" w:space="0" w:color="auto"/>
            </w:tcBorders>
            <w:vAlign w:val="center"/>
            <w:hideMark/>
          </w:tcPr>
          <w:p w14:paraId="21C62AF8" w14:textId="77777777" w:rsidR="002C35EB" w:rsidRPr="00B51F44" w:rsidRDefault="002C35EB" w:rsidP="002C35EB">
            <w:pPr>
              <w:rPr>
                <w:rFonts w:asciiTheme="minorHAnsi" w:hAnsiTheme="minorHAnsi" w:cstheme="minorHAnsi"/>
                <w:b/>
                <w:bCs/>
                <w:color w:val="000000"/>
                <w:sz w:val="22"/>
                <w:szCs w:val="22"/>
                <w:lang w:val="en-GB"/>
              </w:rPr>
            </w:pPr>
          </w:p>
        </w:tc>
        <w:tc>
          <w:tcPr>
            <w:tcW w:w="1795" w:type="dxa"/>
            <w:vMerge/>
            <w:tcBorders>
              <w:top w:val="single" w:sz="8" w:space="0" w:color="auto"/>
              <w:left w:val="single" w:sz="4" w:space="0" w:color="auto"/>
              <w:bottom w:val="double" w:sz="6" w:space="0" w:color="000000"/>
              <w:right w:val="nil"/>
            </w:tcBorders>
            <w:vAlign w:val="center"/>
            <w:hideMark/>
          </w:tcPr>
          <w:p w14:paraId="4A6B2AE2" w14:textId="77777777" w:rsidR="002C35EB" w:rsidRPr="00B51F44" w:rsidRDefault="002C35EB" w:rsidP="002C35EB">
            <w:pPr>
              <w:rPr>
                <w:rFonts w:asciiTheme="minorHAnsi" w:hAnsiTheme="minorHAnsi" w:cstheme="minorHAnsi"/>
                <w:b/>
                <w:bCs/>
                <w:color w:val="000000"/>
                <w:sz w:val="22"/>
                <w:szCs w:val="22"/>
                <w:lang w:val="en-GB"/>
              </w:rPr>
            </w:pPr>
          </w:p>
        </w:tc>
        <w:tc>
          <w:tcPr>
            <w:tcW w:w="2096" w:type="dxa"/>
            <w:vMerge/>
            <w:tcBorders>
              <w:top w:val="single" w:sz="8" w:space="0" w:color="auto"/>
              <w:left w:val="single" w:sz="4" w:space="0" w:color="auto"/>
              <w:bottom w:val="double" w:sz="6" w:space="0" w:color="000000"/>
              <w:right w:val="single" w:sz="8" w:space="0" w:color="auto"/>
            </w:tcBorders>
            <w:vAlign w:val="center"/>
            <w:hideMark/>
          </w:tcPr>
          <w:p w14:paraId="0C590230" w14:textId="77777777" w:rsidR="002C35EB" w:rsidRPr="00B51F44" w:rsidRDefault="002C35EB" w:rsidP="002C35EB">
            <w:pPr>
              <w:rPr>
                <w:rFonts w:asciiTheme="minorHAnsi" w:hAnsiTheme="minorHAnsi" w:cstheme="minorHAnsi"/>
                <w:b/>
                <w:bCs/>
                <w:color w:val="000000"/>
                <w:sz w:val="22"/>
                <w:szCs w:val="22"/>
                <w:lang w:val="en-GB"/>
              </w:rPr>
            </w:pPr>
          </w:p>
        </w:tc>
      </w:tr>
      <w:tr w:rsidR="002C35EB" w:rsidRPr="00B51F44" w14:paraId="74B6D1C5" w14:textId="77777777" w:rsidTr="003B0C51">
        <w:trPr>
          <w:trHeight w:val="268"/>
        </w:trPr>
        <w:tc>
          <w:tcPr>
            <w:tcW w:w="3392" w:type="dxa"/>
            <w:tcBorders>
              <w:top w:val="nil"/>
              <w:left w:val="single" w:sz="8" w:space="0" w:color="auto"/>
              <w:bottom w:val="single" w:sz="4" w:space="0" w:color="auto"/>
              <w:right w:val="single" w:sz="4" w:space="0" w:color="auto"/>
            </w:tcBorders>
            <w:shd w:val="clear" w:color="000000" w:fill="DCE6F1"/>
            <w:noWrap/>
            <w:vAlign w:val="center"/>
            <w:hideMark/>
          </w:tcPr>
          <w:p w14:paraId="4A483812" w14:textId="474546D9" w:rsidR="002C35EB" w:rsidRPr="00B51F44" w:rsidRDefault="002C35EB" w:rsidP="003B0C51">
            <w:pPr>
              <w:ind w:firstLineChars="100" w:firstLine="22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 xml:space="preserve">Středočeský </w:t>
            </w:r>
            <w:r w:rsidR="003B0C51" w:rsidRPr="00B51F44">
              <w:rPr>
                <w:rFonts w:asciiTheme="minorHAnsi" w:hAnsiTheme="minorHAnsi" w:cstheme="minorHAnsi"/>
                <w:color w:val="000000"/>
                <w:sz w:val="22"/>
                <w:szCs w:val="22"/>
                <w:lang w:val="en-GB"/>
              </w:rPr>
              <w:t>and Prague</w:t>
            </w:r>
          </w:p>
        </w:tc>
        <w:tc>
          <w:tcPr>
            <w:tcW w:w="1808" w:type="dxa"/>
            <w:tcBorders>
              <w:top w:val="nil"/>
              <w:left w:val="nil"/>
              <w:bottom w:val="single" w:sz="4" w:space="0" w:color="auto"/>
              <w:right w:val="single" w:sz="4" w:space="0" w:color="auto"/>
            </w:tcBorders>
            <w:shd w:val="clear" w:color="000000" w:fill="DCE6F1"/>
            <w:noWrap/>
            <w:vAlign w:val="center"/>
            <w:hideMark/>
          </w:tcPr>
          <w:p w14:paraId="4F9BDB9C" w14:textId="77777777" w:rsidR="002C35EB" w:rsidRPr="00B51F44" w:rsidRDefault="002C35EB" w:rsidP="002C35EB">
            <w:pPr>
              <w:ind w:firstLineChars="400" w:firstLine="88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71</w:t>
            </w:r>
          </w:p>
        </w:tc>
        <w:tc>
          <w:tcPr>
            <w:tcW w:w="1795" w:type="dxa"/>
            <w:tcBorders>
              <w:top w:val="nil"/>
              <w:left w:val="nil"/>
              <w:bottom w:val="single" w:sz="4" w:space="0" w:color="auto"/>
              <w:right w:val="nil"/>
            </w:tcBorders>
            <w:shd w:val="clear" w:color="000000" w:fill="DCE6F1"/>
            <w:noWrap/>
            <w:vAlign w:val="center"/>
            <w:hideMark/>
          </w:tcPr>
          <w:p w14:paraId="2944DE0B" w14:textId="77777777" w:rsidR="002C35EB" w:rsidRPr="00B51F44" w:rsidRDefault="002C35EB" w:rsidP="002C35EB">
            <w:pPr>
              <w:ind w:firstLineChars="400" w:firstLine="88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57</w:t>
            </w:r>
          </w:p>
        </w:tc>
        <w:tc>
          <w:tcPr>
            <w:tcW w:w="2096" w:type="dxa"/>
            <w:tcBorders>
              <w:top w:val="nil"/>
              <w:left w:val="single" w:sz="4" w:space="0" w:color="auto"/>
              <w:bottom w:val="single" w:sz="4" w:space="0" w:color="auto"/>
              <w:right w:val="single" w:sz="8" w:space="0" w:color="auto"/>
            </w:tcBorders>
            <w:shd w:val="clear" w:color="000000" w:fill="DCE6F1"/>
            <w:noWrap/>
            <w:vAlign w:val="center"/>
            <w:hideMark/>
          </w:tcPr>
          <w:p w14:paraId="520714D3" w14:textId="24F63129" w:rsidR="002C35EB" w:rsidRPr="00B51F44" w:rsidRDefault="003B0C51" w:rsidP="002C35EB">
            <w:pPr>
              <w:ind w:firstLineChars="400" w:firstLine="88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80.</w:t>
            </w:r>
            <w:r w:rsidR="002C35EB" w:rsidRPr="00B51F44">
              <w:rPr>
                <w:rFonts w:asciiTheme="minorHAnsi" w:hAnsiTheme="minorHAnsi" w:cstheme="minorHAnsi"/>
                <w:color w:val="000000"/>
                <w:sz w:val="22"/>
                <w:szCs w:val="22"/>
                <w:lang w:val="en-GB"/>
              </w:rPr>
              <w:t>3%</w:t>
            </w:r>
          </w:p>
        </w:tc>
      </w:tr>
      <w:tr w:rsidR="002C35EB" w:rsidRPr="00B51F44" w14:paraId="10A3D77E" w14:textId="77777777" w:rsidTr="003B0C51">
        <w:trPr>
          <w:trHeight w:val="259"/>
        </w:trPr>
        <w:tc>
          <w:tcPr>
            <w:tcW w:w="3392" w:type="dxa"/>
            <w:tcBorders>
              <w:top w:val="nil"/>
              <w:left w:val="single" w:sz="8" w:space="0" w:color="auto"/>
              <w:bottom w:val="single" w:sz="4" w:space="0" w:color="auto"/>
              <w:right w:val="single" w:sz="4" w:space="0" w:color="auto"/>
            </w:tcBorders>
            <w:shd w:val="clear" w:color="000000" w:fill="DAEEF3"/>
            <w:noWrap/>
            <w:vAlign w:val="center"/>
            <w:hideMark/>
          </w:tcPr>
          <w:p w14:paraId="249A5AB8" w14:textId="0B17CF1E" w:rsidR="002C35EB" w:rsidRPr="00B51F44" w:rsidRDefault="002C35EB" w:rsidP="002C35EB">
            <w:pPr>
              <w:ind w:firstLineChars="100" w:firstLine="22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Jihočeský a</w:t>
            </w:r>
            <w:r w:rsidR="003B0C51" w:rsidRPr="00B51F44">
              <w:rPr>
                <w:rFonts w:asciiTheme="minorHAnsi" w:hAnsiTheme="minorHAnsi" w:cstheme="minorHAnsi"/>
                <w:color w:val="000000"/>
                <w:sz w:val="22"/>
                <w:szCs w:val="22"/>
                <w:lang w:val="en-GB"/>
              </w:rPr>
              <w:t>nd</w:t>
            </w:r>
            <w:r w:rsidRPr="00B51F44">
              <w:rPr>
                <w:rFonts w:asciiTheme="minorHAnsi" w:hAnsiTheme="minorHAnsi" w:cstheme="minorHAnsi"/>
                <w:color w:val="000000"/>
                <w:sz w:val="22"/>
                <w:szCs w:val="22"/>
                <w:lang w:val="en-GB"/>
              </w:rPr>
              <w:t xml:space="preserve"> Vysočina</w:t>
            </w:r>
          </w:p>
        </w:tc>
        <w:tc>
          <w:tcPr>
            <w:tcW w:w="1808" w:type="dxa"/>
            <w:tcBorders>
              <w:top w:val="nil"/>
              <w:left w:val="nil"/>
              <w:bottom w:val="single" w:sz="4" w:space="0" w:color="auto"/>
              <w:right w:val="single" w:sz="4" w:space="0" w:color="auto"/>
            </w:tcBorders>
            <w:shd w:val="clear" w:color="000000" w:fill="DAEEF3"/>
            <w:noWrap/>
            <w:vAlign w:val="center"/>
            <w:hideMark/>
          </w:tcPr>
          <w:p w14:paraId="50970AE7" w14:textId="77777777" w:rsidR="002C35EB" w:rsidRPr="00B51F44" w:rsidRDefault="002C35EB" w:rsidP="002C35EB">
            <w:pPr>
              <w:ind w:firstLineChars="400" w:firstLine="88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68</w:t>
            </w:r>
          </w:p>
        </w:tc>
        <w:tc>
          <w:tcPr>
            <w:tcW w:w="1795" w:type="dxa"/>
            <w:tcBorders>
              <w:top w:val="nil"/>
              <w:left w:val="nil"/>
              <w:bottom w:val="single" w:sz="4" w:space="0" w:color="auto"/>
              <w:right w:val="nil"/>
            </w:tcBorders>
            <w:shd w:val="clear" w:color="000000" w:fill="DAEEF3"/>
            <w:noWrap/>
            <w:vAlign w:val="center"/>
            <w:hideMark/>
          </w:tcPr>
          <w:p w14:paraId="4D8A1363" w14:textId="77777777" w:rsidR="002C35EB" w:rsidRPr="00B51F44" w:rsidRDefault="002C35EB" w:rsidP="002C35EB">
            <w:pPr>
              <w:ind w:firstLineChars="400" w:firstLine="88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46</w:t>
            </w:r>
          </w:p>
        </w:tc>
        <w:tc>
          <w:tcPr>
            <w:tcW w:w="2096" w:type="dxa"/>
            <w:tcBorders>
              <w:top w:val="nil"/>
              <w:left w:val="single" w:sz="4" w:space="0" w:color="auto"/>
              <w:bottom w:val="single" w:sz="4" w:space="0" w:color="auto"/>
              <w:right w:val="single" w:sz="8" w:space="0" w:color="auto"/>
            </w:tcBorders>
            <w:shd w:val="clear" w:color="000000" w:fill="DAEEF3"/>
            <w:noWrap/>
            <w:vAlign w:val="center"/>
            <w:hideMark/>
          </w:tcPr>
          <w:p w14:paraId="4516A424" w14:textId="6A4C2800" w:rsidR="002C35EB" w:rsidRPr="00B51F44" w:rsidRDefault="003B0C51" w:rsidP="002C35EB">
            <w:pPr>
              <w:ind w:firstLineChars="400" w:firstLine="88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67.</w:t>
            </w:r>
            <w:r w:rsidR="002C35EB" w:rsidRPr="00B51F44">
              <w:rPr>
                <w:rFonts w:asciiTheme="minorHAnsi" w:hAnsiTheme="minorHAnsi" w:cstheme="minorHAnsi"/>
                <w:color w:val="000000"/>
                <w:sz w:val="22"/>
                <w:szCs w:val="22"/>
                <w:lang w:val="en-GB"/>
              </w:rPr>
              <w:t>7%</w:t>
            </w:r>
          </w:p>
        </w:tc>
      </w:tr>
      <w:tr w:rsidR="002C35EB" w:rsidRPr="00B51F44" w14:paraId="378F91A3" w14:textId="77777777" w:rsidTr="003B0C51">
        <w:trPr>
          <w:trHeight w:val="259"/>
        </w:trPr>
        <w:tc>
          <w:tcPr>
            <w:tcW w:w="3392" w:type="dxa"/>
            <w:tcBorders>
              <w:top w:val="nil"/>
              <w:left w:val="single" w:sz="8" w:space="0" w:color="auto"/>
              <w:bottom w:val="single" w:sz="4" w:space="0" w:color="auto"/>
              <w:right w:val="single" w:sz="4" w:space="0" w:color="auto"/>
            </w:tcBorders>
            <w:shd w:val="clear" w:color="000000" w:fill="DCE6F1"/>
            <w:noWrap/>
            <w:vAlign w:val="center"/>
            <w:hideMark/>
          </w:tcPr>
          <w:p w14:paraId="788EAB27" w14:textId="68FB0B10" w:rsidR="002C35EB" w:rsidRPr="00B51F44" w:rsidRDefault="002C35EB" w:rsidP="002C35EB">
            <w:pPr>
              <w:ind w:firstLineChars="100" w:firstLine="22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Plzeňský a</w:t>
            </w:r>
            <w:r w:rsidR="003B0C51" w:rsidRPr="00B51F44">
              <w:rPr>
                <w:rFonts w:asciiTheme="minorHAnsi" w:hAnsiTheme="minorHAnsi" w:cstheme="minorHAnsi"/>
                <w:color w:val="000000"/>
                <w:sz w:val="22"/>
                <w:szCs w:val="22"/>
                <w:lang w:val="en-GB"/>
              </w:rPr>
              <w:t>nd</w:t>
            </w:r>
            <w:r w:rsidRPr="00B51F44">
              <w:rPr>
                <w:rFonts w:asciiTheme="minorHAnsi" w:hAnsiTheme="minorHAnsi" w:cstheme="minorHAnsi"/>
                <w:color w:val="000000"/>
                <w:sz w:val="22"/>
                <w:szCs w:val="22"/>
                <w:lang w:val="en-GB"/>
              </w:rPr>
              <w:t xml:space="preserve"> Karlovarský</w:t>
            </w:r>
          </w:p>
        </w:tc>
        <w:tc>
          <w:tcPr>
            <w:tcW w:w="1808" w:type="dxa"/>
            <w:tcBorders>
              <w:top w:val="nil"/>
              <w:left w:val="nil"/>
              <w:bottom w:val="single" w:sz="4" w:space="0" w:color="auto"/>
              <w:right w:val="single" w:sz="4" w:space="0" w:color="auto"/>
            </w:tcBorders>
            <w:shd w:val="clear" w:color="000000" w:fill="DCE6F1"/>
            <w:noWrap/>
            <w:vAlign w:val="center"/>
            <w:hideMark/>
          </w:tcPr>
          <w:p w14:paraId="1448E1B8" w14:textId="77777777" w:rsidR="002C35EB" w:rsidRPr="00B51F44" w:rsidRDefault="002C35EB" w:rsidP="002C35EB">
            <w:pPr>
              <w:ind w:firstLineChars="400" w:firstLine="88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90</w:t>
            </w:r>
          </w:p>
        </w:tc>
        <w:tc>
          <w:tcPr>
            <w:tcW w:w="1795" w:type="dxa"/>
            <w:tcBorders>
              <w:top w:val="nil"/>
              <w:left w:val="nil"/>
              <w:bottom w:val="single" w:sz="4" w:space="0" w:color="auto"/>
              <w:right w:val="nil"/>
            </w:tcBorders>
            <w:shd w:val="clear" w:color="000000" w:fill="DCE6F1"/>
            <w:noWrap/>
            <w:vAlign w:val="center"/>
            <w:hideMark/>
          </w:tcPr>
          <w:p w14:paraId="4B080EB5" w14:textId="77777777" w:rsidR="002C35EB" w:rsidRPr="00B51F44" w:rsidRDefault="002C35EB" w:rsidP="002C35EB">
            <w:pPr>
              <w:ind w:firstLineChars="400" w:firstLine="88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59</w:t>
            </w:r>
          </w:p>
        </w:tc>
        <w:tc>
          <w:tcPr>
            <w:tcW w:w="2096" w:type="dxa"/>
            <w:tcBorders>
              <w:top w:val="nil"/>
              <w:left w:val="single" w:sz="4" w:space="0" w:color="auto"/>
              <w:bottom w:val="single" w:sz="4" w:space="0" w:color="auto"/>
              <w:right w:val="single" w:sz="8" w:space="0" w:color="auto"/>
            </w:tcBorders>
            <w:shd w:val="clear" w:color="000000" w:fill="DCE6F1"/>
            <w:noWrap/>
            <w:vAlign w:val="center"/>
            <w:hideMark/>
          </w:tcPr>
          <w:p w14:paraId="0F291ECF" w14:textId="643B574C" w:rsidR="002C35EB" w:rsidRPr="00B51F44" w:rsidRDefault="003B0C51" w:rsidP="002C35EB">
            <w:pPr>
              <w:ind w:firstLineChars="400" w:firstLine="88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65.</w:t>
            </w:r>
            <w:r w:rsidR="002C35EB" w:rsidRPr="00B51F44">
              <w:rPr>
                <w:rFonts w:asciiTheme="minorHAnsi" w:hAnsiTheme="minorHAnsi" w:cstheme="minorHAnsi"/>
                <w:color w:val="000000"/>
                <w:sz w:val="22"/>
                <w:szCs w:val="22"/>
                <w:lang w:val="en-GB"/>
              </w:rPr>
              <w:t>6%</w:t>
            </w:r>
          </w:p>
        </w:tc>
      </w:tr>
      <w:tr w:rsidR="002C35EB" w:rsidRPr="00B51F44" w14:paraId="56ED6D71" w14:textId="77777777" w:rsidTr="003B0C51">
        <w:trPr>
          <w:trHeight w:val="259"/>
        </w:trPr>
        <w:tc>
          <w:tcPr>
            <w:tcW w:w="3392" w:type="dxa"/>
            <w:tcBorders>
              <w:top w:val="nil"/>
              <w:left w:val="single" w:sz="8" w:space="0" w:color="auto"/>
              <w:bottom w:val="single" w:sz="4" w:space="0" w:color="auto"/>
              <w:right w:val="single" w:sz="4" w:space="0" w:color="auto"/>
            </w:tcBorders>
            <w:shd w:val="clear" w:color="000000" w:fill="DAEEF3"/>
            <w:noWrap/>
            <w:vAlign w:val="center"/>
            <w:hideMark/>
          </w:tcPr>
          <w:p w14:paraId="19D2FB06" w14:textId="31CAAA2D" w:rsidR="002C35EB" w:rsidRPr="00B51F44" w:rsidRDefault="002C35EB" w:rsidP="002C35EB">
            <w:pPr>
              <w:ind w:firstLineChars="100" w:firstLine="22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Ústecký a</w:t>
            </w:r>
            <w:r w:rsidR="003B0C51" w:rsidRPr="00B51F44">
              <w:rPr>
                <w:rFonts w:asciiTheme="minorHAnsi" w:hAnsiTheme="minorHAnsi" w:cstheme="minorHAnsi"/>
                <w:color w:val="000000"/>
                <w:sz w:val="22"/>
                <w:szCs w:val="22"/>
                <w:lang w:val="en-GB"/>
              </w:rPr>
              <w:t>nd</w:t>
            </w:r>
            <w:r w:rsidRPr="00B51F44">
              <w:rPr>
                <w:rFonts w:asciiTheme="minorHAnsi" w:hAnsiTheme="minorHAnsi" w:cstheme="minorHAnsi"/>
                <w:color w:val="000000"/>
                <w:sz w:val="22"/>
                <w:szCs w:val="22"/>
                <w:lang w:val="en-GB"/>
              </w:rPr>
              <w:t xml:space="preserve"> Liberecký</w:t>
            </w:r>
          </w:p>
        </w:tc>
        <w:tc>
          <w:tcPr>
            <w:tcW w:w="1808" w:type="dxa"/>
            <w:tcBorders>
              <w:top w:val="nil"/>
              <w:left w:val="nil"/>
              <w:bottom w:val="single" w:sz="4" w:space="0" w:color="auto"/>
              <w:right w:val="single" w:sz="4" w:space="0" w:color="auto"/>
            </w:tcBorders>
            <w:shd w:val="clear" w:color="000000" w:fill="DAEEF3"/>
            <w:noWrap/>
            <w:vAlign w:val="center"/>
            <w:hideMark/>
          </w:tcPr>
          <w:p w14:paraId="4DF4E2BB" w14:textId="77777777" w:rsidR="002C35EB" w:rsidRPr="00B51F44" w:rsidRDefault="002C35EB" w:rsidP="002C35EB">
            <w:pPr>
              <w:ind w:firstLineChars="400" w:firstLine="88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103</w:t>
            </w:r>
          </w:p>
        </w:tc>
        <w:tc>
          <w:tcPr>
            <w:tcW w:w="1795" w:type="dxa"/>
            <w:tcBorders>
              <w:top w:val="nil"/>
              <w:left w:val="nil"/>
              <w:bottom w:val="single" w:sz="4" w:space="0" w:color="auto"/>
              <w:right w:val="nil"/>
            </w:tcBorders>
            <w:shd w:val="clear" w:color="000000" w:fill="DAEEF3"/>
            <w:noWrap/>
            <w:vAlign w:val="center"/>
            <w:hideMark/>
          </w:tcPr>
          <w:p w14:paraId="46AAF9B3" w14:textId="77777777" w:rsidR="002C35EB" w:rsidRPr="00B51F44" w:rsidRDefault="002C35EB" w:rsidP="002C35EB">
            <w:pPr>
              <w:ind w:firstLineChars="400" w:firstLine="88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60</w:t>
            </w:r>
          </w:p>
        </w:tc>
        <w:tc>
          <w:tcPr>
            <w:tcW w:w="2096" w:type="dxa"/>
            <w:tcBorders>
              <w:top w:val="nil"/>
              <w:left w:val="single" w:sz="4" w:space="0" w:color="auto"/>
              <w:bottom w:val="single" w:sz="4" w:space="0" w:color="auto"/>
              <w:right w:val="single" w:sz="8" w:space="0" w:color="auto"/>
            </w:tcBorders>
            <w:shd w:val="clear" w:color="000000" w:fill="DAEEF3"/>
            <w:noWrap/>
            <w:vAlign w:val="center"/>
            <w:hideMark/>
          </w:tcPr>
          <w:p w14:paraId="283A12BC" w14:textId="1A61B530" w:rsidR="002C35EB" w:rsidRPr="00B51F44" w:rsidRDefault="003B0C51" w:rsidP="002C35EB">
            <w:pPr>
              <w:ind w:firstLineChars="400" w:firstLine="88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58.</w:t>
            </w:r>
            <w:r w:rsidR="002C35EB" w:rsidRPr="00B51F44">
              <w:rPr>
                <w:rFonts w:asciiTheme="minorHAnsi" w:hAnsiTheme="minorHAnsi" w:cstheme="minorHAnsi"/>
                <w:color w:val="000000"/>
                <w:sz w:val="22"/>
                <w:szCs w:val="22"/>
                <w:lang w:val="en-GB"/>
              </w:rPr>
              <w:t>3%</w:t>
            </w:r>
          </w:p>
        </w:tc>
      </w:tr>
      <w:tr w:rsidR="002C35EB" w:rsidRPr="00B51F44" w14:paraId="1387EB82" w14:textId="77777777" w:rsidTr="003B0C51">
        <w:trPr>
          <w:trHeight w:val="259"/>
        </w:trPr>
        <w:tc>
          <w:tcPr>
            <w:tcW w:w="3392" w:type="dxa"/>
            <w:tcBorders>
              <w:top w:val="nil"/>
              <w:left w:val="single" w:sz="8" w:space="0" w:color="auto"/>
              <w:bottom w:val="single" w:sz="4" w:space="0" w:color="auto"/>
              <w:right w:val="single" w:sz="4" w:space="0" w:color="auto"/>
            </w:tcBorders>
            <w:shd w:val="clear" w:color="000000" w:fill="DCE6F1"/>
            <w:noWrap/>
            <w:vAlign w:val="center"/>
            <w:hideMark/>
          </w:tcPr>
          <w:p w14:paraId="6D8C7C43" w14:textId="66F970E5" w:rsidR="002C35EB" w:rsidRPr="00B51F44" w:rsidRDefault="002C35EB" w:rsidP="002C35EB">
            <w:pPr>
              <w:ind w:firstLineChars="100" w:firstLine="22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Královéhradecký a</w:t>
            </w:r>
            <w:r w:rsidR="003B0C51" w:rsidRPr="00B51F44">
              <w:rPr>
                <w:rFonts w:asciiTheme="minorHAnsi" w:hAnsiTheme="minorHAnsi" w:cstheme="minorHAnsi"/>
                <w:color w:val="000000"/>
                <w:sz w:val="22"/>
                <w:szCs w:val="22"/>
                <w:lang w:val="en-GB"/>
              </w:rPr>
              <w:t>nd</w:t>
            </w:r>
            <w:r w:rsidRPr="00B51F44">
              <w:rPr>
                <w:rFonts w:asciiTheme="minorHAnsi" w:hAnsiTheme="minorHAnsi" w:cstheme="minorHAnsi"/>
                <w:color w:val="000000"/>
                <w:sz w:val="22"/>
                <w:szCs w:val="22"/>
                <w:lang w:val="en-GB"/>
              </w:rPr>
              <w:t xml:space="preserve"> Pardubický</w:t>
            </w:r>
          </w:p>
        </w:tc>
        <w:tc>
          <w:tcPr>
            <w:tcW w:w="1808" w:type="dxa"/>
            <w:tcBorders>
              <w:top w:val="nil"/>
              <w:left w:val="nil"/>
              <w:bottom w:val="single" w:sz="4" w:space="0" w:color="auto"/>
              <w:right w:val="single" w:sz="4" w:space="0" w:color="auto"/>
            </w:tcBorders>
            <w:shd w:val="clear" w:color="000000" w:fill="DCE6F1"/>
            <w:noWrap/>
            <w:vAlign w:val="center"/>
            <w:hideMark/>
          </w:tcPr>
          <w:p w14:paraId="41880BFA" w14:textId="77777777" w:rsidR="002C35EB" w:rsidRPr="00B51F44" w:rsidRDefault="002C35EB" w:rsidP="002C35EB">
            <w:pPr>
              <w:ind w:firstLineChars="400" w:firstLine="88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188</w:t>
            </w:r>
          </w:p>
        </w:tc>
        <w:tc>
          <w:tcPr>
            <w:tcW w:w="1795" w:type="dxa"/>
            <w:tcBorders>
              <w:top w:val="nil"/>
              <w:left w:val="nil"/>
              <w:bottom w:val="single" w:sz="4" w:space="0" w:color="auto"/>
              <w:right w:val="nil"/>
            </w:tcBorders>
            <w:shd w:val="clear" w:color="000000" w:fill="DCE6F1"/>
            <w:noWrap/>
            <w:vAlign w:val="center"/>
            <w:hideMark/>
          </w:tcPr>
          <w:p w14:paraId="1B40568E" w14:textId="77777777" w:rsidR="002C35EB" w:rsidRPr="00B51F44" w:rsidRDefault="002C35EB" w:rsidP="002C35EB">
            <w:pPr>
              <w:ind w:firstLineChars="400" w:firstLine="88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101</w:t>
            </w:r>
          </w:p>
        </w:tc>
        <w:tc>
          <w:tcPr>
            <w:tcW w:w="2096" w:type="dxa"/>
            <w:tcBorders>
              <w:top w:val="nil"/>
              <w:left w:val="single" w:sz="4" w:space="0" w:color="auto"/>
              <w:bottom w:val="single" w:sz="4" w:space="0" w:color="auto"/>
              <w:right w:val="single" w:sz="8" w:space="0" w:color="auto"/>
            </w:tcBorders>
            <w:shd w:val="clear" w:color="000000" w:fill="DCE6F1"/>
            <w:noWrap/>
            <w:vAlign w:val="center"/>
            <w:hideMark/>
          </w:tcPr>
          <w:p w14:paraId="0E454C2C" w14:textId="0BCE4B73" w:rsidR="002C35EB" w:rsidRPr="00B51F44" w:rsidRDefault="003B0C51" w:rsidP="002C35EB">
            <w:pPr>
              <w:ind w:firstLineChars="400" w:firstLine="88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53.</w:t>
            </w:r>
            <w:r w:rsidR="002C35EB" w:rsidRPr="00B51F44">
              <w:rPr>
                <w:rFonts w:asciiTheme="minorHAnsi" w:hAnsiTheme="minorHAnsi" w:cstheme="minorHAnsi"/>
                <w:color w:val="000000"/>
                <w:sz w:val="22"/>
                <w:szCs w:val="22"/>
                <w:lang w:val="en-GB"/>
              </w:rPr>
              <w:t>7%</w:t>
            </w:r>
          </w:p>
        </w:tc>
      </w:tr>
      <w:tr w:rsidR="002C35EB" w:rsidRPr="00B51F44" w14:paraId="4DEE0232" w14:textId="77777777" w:rsidTr="003B0C51">
        <w:trPr>
          <w:trHeight w:val="259"/>
        </w:trPr>
        <w:tc>
          <w:tcPr>
            <w:tcW w:w="3392" w:type="dxa"/>
            <w:tcBorders>
              <w:top w:val="nil"/>
              <w:left w:val="single" w:sz="8" w:space="0" w:color="auto"/>
              <w:bottom w:val="single" w:sz="4" w:space="0" w:color="auto"/>
              <w:right w:val="single" w:sz="4" w:space="0" w:color="auto"/>
            </w:tcBorders>
            <w:shd w:val="clear" w:color="000000" w:fill="DAEEF3"/>
            <w:noWrap/>
            <w:vAlign w:val="center"/>
            <w:hideMark/>
          </w:tcPr>
          <w:p w14:paraId="6062A48E" w14:textId="47E84E2F" w:rsidR="002C35EB" w:rsidRPr="00B51F44" w:rsidRDefault="002C35EB" w:rsidP="002C35EB">
            <w:pPr>
              <w:ind w:firstLineChars="100" w:firstLine="22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Jihomoravský a</w:t>
            </w:r>
            <w:r w:rsidR="003B0C51" w:rsidRPr="00B51F44">
              <w:rPr>
                <w:rFonts w:asciiTheme="minorHAnsi" w:hAnsiTheme="minorHAnsi" w:cstheme="minorHAnsi"/>
                <w:color w:val="000000"/>
                <w:sz w:val="22"/>
                <w:szCs w:val="22"/>
                <w:lang w:val="en-GB"/>
              </w:rPr>
              <w:t>nd</w:t>
            </w:r>
            <w:r w:rsidRPr="00B51F44">
              <w:rPr>
                <w:rFonts w:asciiTheme="minorHAnsi" w:hAnsiTheme="minorHAnsi" w:cstheme="minorHAnsi"/>
                <w:color w:val="000000"/>
                <w:sz w:val="22"/>
                <w:szCs w:val="22"/>
                <w:lang w:val="en-GB"/>
              </w:rPr>
              <w:t xml:space="preserve"> Zlínský</w:t>
            </w:r>
          </w:p>
        </w:tc>
        <w:tc>
          <w:tcPr>
            <w:tcW w:w="1808" w:type="dxa"/>
            <w:tcBorders>
              <w:top w:val="nil"/>
              <w:left w:val="nil"/>
              <w:bottom w:val="single" w:sz="4" w:space="0" w:color="auto"/>
              <w:right w:val="single" w:sz="4" w:space="0" w:color="auto"/>
            </w:tcBorders>
            <w:shd w:val="clear" w:color="000000" w:fill="DAEEF3"/>
            <w:noWrap/>
            <w:vAlign w:val="center"/>
            <w:hideMark/>
          </w:tcPr>
          <w:p w14:paraId="434FBC9E" w14:textId="77777777" w:rsidR="002C35EB" w:rsidRPr="00B51F44" w:rsidRDefault="002C35EB" w:rsidP="002C35EB">
            <w:pPr>
              <w:ind w:firstLineChars="400" w:firstLine="88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361</w:t>
            </w:r>
          </w:p>
        </w:tc>
        <w:tc>
          <w:tcPr>
            <w:tcW w:w="1795" w:type="dxa"/>
            <w:tcBorders>
              <w:top w:val="nil"/>
              <w:left w:val="nil"/>
              <w:bottom w:val="single" w:sz="4" w:space="0" w:color="auto"/>
              <w:right w:val="nil"/>
            </w:tcBorders>
            <w:shd w:val="clear" w:color="000000" w:fill="DAEEF3"/>
            <w:noWrap/>
            <w:vAlign w:val="center"/>
            <w:hideMark/>
          </w:tcPr>
          <w:p w14:paraId="6503DBDA" w14:textId="77777777" w:rsidR="002C35EB" w:rsidRPr="00B51F44" w:rsidRDefault="002C35EB" w:rsidP="002C35EB">
            <w:pPr>
              <w:ind w:firstLineChars="400" w:firstLine="88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247</w:t>
            </w:r>
          </w:p>
        </w:tc>
        <w:tc>
          <w:tcPr>
            <w:tcW w:w="2096" w:type="dxa"/>
            <w:tcBorders>
              <w:top w:val="nil"/>
              <w:left w:val="single" w:sz="4" w:space="0" w:color="auto"/>
              <w:bottom w:val="single" w:sz="4" w:space="0" w:color="auto"/>
              <w:right w:val="single" w:sz="8" w:space="0" w:color="auto"/>
            </w:tcBorders>
            <w:shd w:val="clear" w:color="000000" w:fill="DAEEF3"/>
            <w:noWrap/>
            <w:vAlign w:val="center"/>
            <w:hideMark/>
          </w:tcPr>
          <w:p w14:paraId="60162DF5" w14:textId="4AB75515" w:rsidR="002C35EB" w:rsidRPr="00B51F44" w:rsidRDefault="003B0C51" w:rsidP="002C35EB">
            <w:pPr>
              <w:ind w:firstLineChars="400" w:firstLine="88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68.</w:t>
            </w:r>
            <w:r w:rsidR="002C35EB" w:rsidRPr="00B51F44">
              <w:rPr>
                <w:rFonts w:asciiTheme="minorHAnsi" w:hAnsiTheme="minorHAnsi" w:cstheme="minorHAnsi"/>
                <w:color w:val="000000"/>
                <w:sz w:val="22"/>
                <w:szCs w:val="22"/>
                <w:lang w:val="en-GB"/>
              </w:rPr>
              <w:t>4%</w:t>
            </w:r>
          </w:p>
        </w:tc>
      </w:tr>
      <w:tr w:rsidR="002C35EB" w:rsidRPr="00B51F44" w14:paraId="6CFB0290" w14:textId="77777777" w:rsidTr="003B0C51">
        <w:trPr>
          <w:trHeight w:val="268"/>
        </w:trPr>
        <w:tc>
          <w:tcPr>
            <w:tcW w:w="3392" w:type="dxa"/>
            <w:tcBorders>
              <w:top w:val="nil"/>
              <w:left w:val="single" w:sz="8" w:space="0" w:color="auto"/>
              <w:bottom w:val="nil"/>
              <w:right w:val="single" w:sz="4" w:space="0" w:color="auto"/>
            </w:tcBorders>
            <w:shd w:val="clear" w:color="000000" w:fill="DCE6F1"/>
            <w:noWrap/>
            <w:vAlign w:val="center"/>
            <w:hideMark/>
          </w:tcPr>
          <w:p w14:paraId="3ED70B1C" w14:textId="1105D49C" w:rsidR="002C35EB" w:rsidRPr="00B51F44" w:rsidRDefault="002C35EB" w:rsidP="002C35EB">
            <w:pPr>
              <w:ind w:firstLineChars="100" w:firstLine="22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Olomoucký a</w:t>
            </w:r>
            <w:r w:rsidR="003B0C51" w:rsidRPr="00B51F44">
              <w:rPr>
                <w:rFonts w:asciiTheme="minorHAnsi" w:hAnsiTheme="minorHAnsi" w:cstheme="minorHAnsi"/>
                <w:color w:val="000000"/>
                <w:sz w:val="22"/>
                <w:szCs w:val="22"/>
                <w:lang w:val="en-GB"/>
              </w:rPr>
              <w:t>nd</w:t>
            </w:r>
            <w:r w:rsidRPr="00B51F44">
              <w:rPr>
                <w:rFonts w:asciiTheme="minorHAnsi" w:hAnsiTheme="minorHAnsi" w:cstheme="minorHAnsi"/>
                <w:color w:val="000000"/>
                <w:sz w:val="22"/>
                <w:szCs w:val="22"/>
                <w:lang w:val="en-GB"/>
              </w:rPr>
              <w:t xml:space="preserve"> Moravskoslezský</w:t>
            </w:r>
          </w:p>
        </w:tc>
        <w:tc>
          <w:tcPr>
            <w:tcW w:w="1808" w:type="dxa"/>
            <w:tcBorders>
              <w:top w:val="nil"/>
              <w:left w:val="nil"/>
              <w:bottom w:val="nil"/>
              <w:right w:val="single" w:sz="4" w:space="0" w:color="auto"/>
            </w:tcBorders>
            <w:shd w:val="clear" w:color="000000" w:fill="DCE6F1"/>
            <w:noWrap/>
            <w:vAlign w:val="center"/>
            <w:hideMark/>
          </w:tcPr>
          <w:p w14:paraId="5AD20DEF" w14:textId="77777777" w:rsidR="002C35EB" w:rsidRPr="00B51F44" w:rsidRDefault="002C35EB" w:rsidP="002C35EB">
            <w:pPr>
              <w:ind w:firstLineChars="400" w:firstLine="88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263</w:t>
            </w:r>
          </w:p>
        </w:tc>
        <w:tc>
          <w:tcPr>
            <w:tcW w:w="1795" w:type="dxa"/>
            <w:tcBorders>
              <w:top w:val="nil"/>
              <w:left w:val="nil"/>
              <w:bottom w:val="nil"/>
              <w:right w:val="nil"/>
            </w:tcBorders>
            <w:shd w:val="clear" w:color="000000" w:fill="DCE6F1"/>
            <w:noWrap/>
            <w:vAlign w:val="center"/>
            <w:hideMark/>
          </w:tcPr>
          <w:p w14:paraId="476D5EB8" w14:textId="77777777" w:rsidR="002C35EB" w:rsidRPr="00B51F44" w:rsidRDefault="002C35EB" w:rsidP="002C35EB">
            <w:pPr>
              <w:ind w:firstLineChars="400" w:firstLine="88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239</w:t>
            </w:r>
          </w:p>
        </w:tc>
        <w:tc>
          <w:tcPr>
            <w:tcW w:w="2096" w:type="dxa"/>
            <w:tcBorders>
              <w:top w:val="nil"/>
              <w:left w:val="single" w:sz="4" w:space="0" w:color="auto"/>
              <w:bottom w:val="nil"/>
              <w:right w:val="single" w:sz="8" w:space="0" w:color="auto"/>
            </w:tcBorders>
            <w:shd w:val="clear" w:color="000000" w:fill="DCE6F1"/>
            <w:noWrap/>
            <w:vAlign w:val="center"/>
            <w:hideMark/>
          </w:tcPr>
          <w:p w14:paraId="49D78AF7" w14:textId="3404A90F" w:rsidR="002C35EB" w:rsidRPr="00B51F44" w:rsidRDefault="003B0C51" w:rsidP="002C35EB">
            <w:pPr>
              <w:ind w:firstLineChars="400" w:firstLine="880"/>
              <w:jc w:val="right"/>
              <w:rPr>
                <w:rFonts w:asciiTheme="minorHAnsi" w:hAnsiTheme="minorHAnsi" w:cstheme="minorHAnsi"/>
                <w:color w:val="000000"/>
                <w:sz w:val="22"/>
                <w:szCs w:val="22"/>
                <w:lang w:val="en-GB"/>
              </w:rPr>
            </w:pPr>
            <w:r w:rsidRPr="00B51F44">
              <w:rPr>
                <w:rFonts w:asciiTheme="minorHAnsi" w:hAnsiTheme="minorHAnsi" w:cstheme="minorHAnsi"/>
                <w:color w:val="000000"/>
                <w:sz w:val="22"/>
                <w:szCs w:val="22"/>
                <w:lang w:val="en-GB"/>
              </w:rPr>
              <w:t>90.</w:t>
            </w:r>
            <w:r w:rsidR="002C35EB" w:rsidRPr="00B51F44">
              <w:rPr>
                <w:rFonts w:asciiTheme="minorHAnsi" w:hAnsiTheme="minorHAnsi" w:cstheme="minorHAnsi"/>
                <w:color w:val="000000"/>
                <w:sz w:val="22"/>
                <w:szCs w:val="22"/>
                <w:lang w:val="en-GB"/>
              </w:rPr>
              <w:t>9%</w:t>
            </w:r>
          </w:p>
        </w:tc>
      </w:tr>
      <w:tr w:rsidR="002C35EB" w:rsidRPr="00B51F44" w14:paraId="21822598" w14:textId="77777777" w:rsidTr="003B0C51">
        <w:trPr>
          <w:trHeight w:val="348"/>
        </w:trPr>
        <w:tc>
          <w:tcPr>
            <w:tcW w:w="3392" w:type="dxa"/>
            <w:tcBorders>
              <w:top w:val="single" w:sz="8" w:space="0" w:color="auto"/>
              <w:left w:val="single" w:sz="8" w:space="0" w:color="auto"/>
              <w:bottom w:val="single" w:sz="8" w:space="0" w:color="auto"/>
              <w:right w:val="single" w:sz="4" w:space="0" w:color="auto"/>
            </w:tcBorders>
            <w:shd w:val="clear" w:color="000000" w:fill="DAEEF3"/>
            <w:noWrap/>
            <w:vAlign w:val="center"/>
            <w:hideMark/>
          </w:tcPr>
          <w:p w14:paraId="749E5089" w14:textId="4CA8AC2B" w:rsidR="002C35EB" w:rsidRPr="00B51F44" w:rsidRDefault="003B0C51" w:rsidP="002C35EB">
            <w:pPr>
              <w:ind w:firstLineChars="100" w:firstLine="220"/>
              <w:jc w:val="right"/>
              <w:rPr>
                <w:rFonts w:asciiTheme="minorHAnsi" w:hAnsiTheme="minorHAnsi" w:cstheme="minorHAnsi"/>
                <w:b/>
                <w:bCs/>
                <w:color w:val="000000"/>
                <w:sz w:val="22"/>
                <w:szCs w:val="22"/>
                <w:lang w:val="en-GB"/>
              </w:rPr>
            </w:pPr>
            <w:r w:rsidRPr="00B51F44">
              <w:rPr>
                <w:rFonts w:asciiTheme="minorHAnsi" w:hAnsiTheme="minorHAnsi" w:cstheme="minorHAnsi"/>
                <w:b/>
                <w:bCs/>
                <w:color w:val="000000"/>
                <w:sz w:val="22"/>
                <w:szCs w:val="22"/>
                <w:lang w:val="en-GB"/>
              </w:rPr>
              <w:t>Total</w:t>
            </w:r>
          </w:p>
        </w:tc>
        <w:tc>
          <w:tcPr>
            <w:tcW w:w="1808" w:type="dxa"/>
            <w:tcBorders>
              <w:top w:val="single" w:sz="8" w:space="0" w:color="auto"/>
              <w:left w:val="nil"/>
              <w:bottom w:val="single" w:sz="8" w:space="0" w:color="auto"/>
              <w:right w:val="single" w:sz="4" w:space="0" w:color="auto"/>
            </w:tcBorders>
            <w:shd w:val="clear" w:color="000000" w:fill="DAEEF3"/>
            <w:noWrap/>
            <w:vAlign w:val="center"/>
            <w:hideMark/>
          </w:tcPr>
          <w:p w14:paraId="78848C48" w14:textId="65C7A428" w:rsidR="002C35EB" w:rsidRPr="00B51F44" w:rsidRDefault="003B0C51" w:rsidP="002C35EB">
            <w:pPr>
              <w:ind w:firstLineChars="400" w:firstLine="880"/>
              <w:jc w:val="right"/>
              <w:rPr>
                <w:rFonts w:asciiTheme="minorHAnsi" w:hAnsiTheme="minorHAnsi" w:cstheme="minorHAnsi"/>
                <w:b/>
                <w:bCs/>
                <w:color w:val="000000"/>
                <w:sz w:val="22"/>
                <w:szCs w:val="22"/>
                <w:lang w:val="en-GB"/>
              </w:rPr>
            </w:pPr>
            <w:r w:rsidRPr="00B51F44">
              <w:rPr>
                <w:rFonts w:asciiTheme="minorHAnsi" w:hAnsiTheme="minorHAnsi" w:cstheme="minorHAnsi"/>
                <w:b/>
                <w:bCs/>
                <w:color w:val="000000"/>
                <w:sz w:val="22"/>
                <w:szCs w:val="22"/>
                <w:lang w:val="en-GB"/>
              </w:rPr>
              <w:t>1,</w:t>
            </w:r>
            <w:r w:rsidR="002C35EB" w:rsidRPr="00B51F44">
              <w:rPr>
                <w:rFonts w:asciiTheme="minorHAnsi" w:hAnsiTheme="minorHAnsi" w:cstheme="minorHAnsi"/>
                <w:b/>
                <w:bCs/>
                <w:color w:val="000000"/>
                <w:sz w:val="22"/>
                <w:szCs w:val="22"/>
                <w:lang w:val="en-GB"/>
              </w:rPr>
              <w:t>144</w:t>
            </w:r>
          </w:p>
        </w:tc>
        <w:tc>
          <w:tcPr>
            <w:tcW w:w="1795" w:type="dxa"/>
            <w:tcBorders>
              <w:top w:val="single" w:sz="8" w:space="0" w:color="auto"/>
              <w:left w:val="nil"/>
              <w:bottom w:val="single" w:sz="8" w:space="0" w:color="auto"/>
              <w:right w:val="nil"/>
            </w:tcBorders>
            <w:shd w:val="clear" w:color="000000" w:fill="DAEEF3"/>
            <w:noWrap/>
            <w:vAlign w:val="center"/>
            <w:hideMark/>
          </w:tcPr>
          <w:p w14:paraId="10069162" w14:textId="77777777" w:rsidR="002C35EB" w:rsidRPr="00B51F44" w:rsidRDefault="002C35EB" w:rsidP="002C35EB">
            <w:pPr>
              <w:ind w:firstLineChars="400" w:firstLine="880"/>
              <w:jc w:val="right"/>
              <w:rPr>
                <w:rFonts w:asciiTheme="minorHAnsi" w:hAnsiTheme="minorHAnsi" w:cstheme="minorHAnsi"/>
                <w:b/>
                <w:bCs/>
                <w:color w:val="000000"/>
                <w:sz w:val="22"/>
                <w:szCs w:val="22"/>
                <w:lang w:val="en-GB"/>
              </w:rPr>
            </w:pPr>
            <w:r w:rsidRPr="00B51F44">
              <w:rPr>
                <w:rFonts w:asciiTheme="minorHAnsi" w:hAnsiTheme="minorHAnsi" w:cstheme="minorHAnsi"/>
                <w:b/>
                <w:bCs/>
                <w:color w:val="000000"/>
                <w:sz w:val="22"/>
                <w:szCs w:val="22"/>
                <w:lang w:val="en-GB"/>
              </w:rPr>
              <w:t>809</w:t>
            </w:r>
          </w:p>
        </w:tc>
        <w:tc>
          <w:tcPr>
            <w:tcW w:w="2096" w:type="dxa"/>
            <w:tcBorders>
              <w:top w:val="single" w:sz="8" w:space="0" w:color="auto"/>
              <w:left w:val="single" w:sz="4" w:space="0" w:color="auto"/>
              <w:bottom w:val="single" w:sz="8" w:space="0" w:color="auto"/>
              <w:right w:val="single" w:sz="8" w:space="0" w:color="auto"/>
            </w:tcBorders>
            <w:shd w:val="clear" w:color="000000" w:fill="DAEEF3"/>
            <w:noWrap/>
            <w:vAlign w:val="center"/>
            <w:hideMark/>
          </w:tcPr>
          <w:p w14:paraId="67040D61" w14:textId="5EE4BEA2" w:rsidR="002C35EB" w:rsidRPr="00B51F44" w:rsidRDefault="003B0C51" w:rsidP="002C35EB">
            <w:pPr>
              <w:ind w:firstLineChars="400" w:firstLine="880"/>
              <w:jc w:val="right"/>
              <w:rPr>
                <w:rFonts w:asciiTheme="minorHAnsi" w:hAnsiTheme="minorHAnsi" w:cstheme="minorHAnsi"/>
                <w:b/>
                <w:bCs/>
                <w:color w:val="000000"/>
                <w:sz w:val="22"/>
                <w:szCs w:val="22"/>
                <w:lang w:val="en-GB"/>
              </w:rPr>
            </w:pPr>
            <w:r w:rsidRPr="00B51F44">
              <w:rPr>
                <w:rFonts w:asciiTheme="minorHAnsi" w:hAnsiTheme="minorHAnsi" w:cstheme="minorHAnsi"/>
                <w:b/>
                <w:bCs/>
                <w:color w:val="000000"/>
                <w:sz w:val="22"/>
                <w:szCs w:val="22"/>
                <w:lang w:val="en-GB"/>
              </w:rPr>
              <w:t>70.</w:t>
            </w:r>
            <w:r w:rsidR="002C35EB" w:rsidRPr="00B51F44">
              <w:rPr>
                <w:rFonts w:asciiTheme="minorHAnsi" w:hAnsiTheme="minorHAnsi" w:cstheme="minorHAnsi"/>
                <w:b/>
                <w:bCs/>
                <w:color w:val="000000"/>
                <w:sz w:val="22"/>
                <w:szCs w:val="22"/>
                <w:lang w:val="en-GB"/>
              </w:rPr>
              <w:t>7%</w:t>
            </w:r>
          </w:p>
        </w:tc>
      </w:tr>
    </w:tbl>
    <w:p w14:paraId="18E90C84" w14:textId="77777777" w:rsidR="002C35EB" w:rsidRPr="00B51F44" w:rsidRDefault="002C35EB" w:rsidP="002C35EB">
      <w:pPr>
        <w:jc w:val="both"/>
        <w:rPr>
          <w:rFonts w:asciiTheme="minorHAnsi" w:hAnsiTheme="minorHAnsi" w:cstheme="minorHAnsi"/>
          <w:sz w:val="22"/>
          <w:szCs w:val="22"/>
          <w:lang w:val="en-GB"/>
        </w:rPr>
      </w:pPr>
    </w:p>
    <w:p w14:paraId="3F91E4B1" w14:textId="06B1F362" w:rsidR="002C35EB" w:rsidRPr="00B51F44" w:rsidRDefault="003B0C51" w:rsidP="005E5DFA">
      <w:pPr>
        <w:tabs>
          <w:tab w:val="left" w:pos="9214"/>
        </w:tabs>
        <w:spacing w:before="120" w:after="120" w:line="276" w:lineRule="auto"/>
        <w:jc w:val="both"/>
        <w:rPr>
          <w:rFonts w:asciiTheme="minorHAnsi" w:hAnsiTheme="minorHAnsi" w:cstheme="minorHAnsi"/>
          <w:b/>
          <w:sz w:val="22"/>
          <w:szCs w:val="22"/>
          <w:lang w:val="en-GB"/>
        </w:rPr>
      </w:pPr>
      <w:r w:rsidRPr="00B51F44">
        <w:rPr>
          <w:rFonts w:asciiTheme="minorHAnsi" w:hAnsiTheme="minorHAnsi" w:cstheme="minorHAnsi"/>
          <w:b/>
          <w:sz w:val="22"/>
          <w:szCs w:val="22"/>
          <w:lang w:val="en-GB"/>
        </w:rPr>
        <w:t>Detected findings</w:t>
      </w:r>
    </w:p>
    <w:p w14:paraId="5AFF31BE" w14:textId="4929D58C" w:rsidR="002C35EB" w:rsidRPr="00B51F44" w:rsidRDefault="001C5E83" w:rsidP="001C5E83">
      <w:pPr>
        <w:spacing w:before="120" w:after="120" w:line="276" w:lineRule="auto"/>
        <w:jc w:val="both"/>
        <w:rPr>
          <w:rFonts w:asciiTheme="minorHAnsi" w:eastAsiaTheme="minorHAnsi" w:hAnsiTheme="minorHAnsi" w:cstheme="minorHAnsi"/>
          <w:sz w:val="22"/>
          <w:szCs w:val="22"/>
          <w:lang w:val="en-GB"/>
        </w:rPr>
      </w:pPr>
      <w:r w:rsidRPr="00B51F44">
        <w:rPr>
          <w:rFonts w:asciiTheme="minorHAnsi" w:hAnsiTheme="minorHAnsi" w:cstheme="minorHAnsi"/>
          <w:sz w:val="22"/>
          <w:szCs w:val="22"/>
          <w:lang w:val="en-GB"/>
        </w:rPr>
        <w:t xml:space="preserve">CTIA officers most frequently detected breaches of the Act No. 634/1992 Coll. on Consumer Protection. Individual provisions were breached in the </w:t>
      </w:r>
      <w:proofErr w:type="gramStart"/>
      <w:r w:rsidRPr="00B51F44">
        <w:rPr>
          <w:rFonts w:asciiTheme="minorHAnsi" w:hAnsiTheme="minorHAnsi" w:cstheme="minorHAnsi"/>
          <w:sz w:val="22"/>
          <w:szCs w:val="22"/>
          <w:lang w:val="en-GB"/>
        </w:rPr>
        <w:t>total of 1,634</w:t>
      </w:r>
      <w:proofErr w:type="gramEnd"/>
      <w:r w:rsidRPr="00B51F44">
        <w:rPr>
          <w:rFonts w:asciiTheme="minorHAnsi" w:hAnsiTheme="minorHAnsi" w:cstheme="minorHAnsi"/>
          <w:sz w:val="22"/>
          <w:szCs w:val="22"/>
          <w:lang w:val="en-GB"/>
        </w:rPr>
        <w:t xml:space="preserve"> cases, including:</w:t>
      </w:r>
    </w:p>
    <w:p w14:paraId="6EA0C9C2" w14:textId="17F002D1" w:rsidR="001C5E83" w:rsidRPr="00B51F44" w:rsidRDefault="001C5E83" w:rsidP="001C5E83">
      <w:pPr>
        <w:pStyle w:val="Odstavecseseznamem"/>
        <w:numPr>
          <w:ilvl w:val="0"/>
          <w:numId w:val="40"/>
        </w:numPr>
        <w:spacing w:before="120" w:after="120"/>
        <w:jc w:val="both"/>
        <w:rPr>
          <w:rFonts w:asciiTheme="minorHAnsi" w:hAnsiTheme="minorHAnsi" w:cstheme="minorHAnsi"/>
          <w:lang w:val="en-GB"/>
        </w:rPr>
      </w:pPr>
      <w:r w:rsidRPr="00B51F44">
        <w:rPr>
          <w:rFonts w:asciiTheme="minorHAnsi" w:hAnsiTheme="minorHAnsi" w:cstheme="minorHAnsi"/>
          <w:lang w:val="en-GB"/>
        </w:rPr>
        <w:t xml:space="preserve">in 616 cases, a </w:t>
      </w:r>
      <w:r w:rsidRPr="00B51F44">
        <w:rPr>
          <w:rFonts w:asciiTheme="minorHAnsi" w:hAnsiTheme="minorHAnsi" w:cstheme="minorHAnsi"/>
          <w:lang w:val="en-GB"/>
        </w:rPr>
        <w:t>breach</w:t>
      </w:r>
      <w:r w:rsidRPr="00B51F44">
        <w:rPr>
          <w:rFonts w:asciiTheme="minorHAnsi" w:hAnsiTheme="minorHAnsi" w:cstheme="minorHAnsi"/>
          <w:lang w:val="en-GB"/>
        </w:rPr>
        <w:t xml:space="preserve"> of the prohibition on the use of unfair commercial practices </w:t>
      </w:r>
      <w:r w:rsidR="009039CA" w:rsidRPr="00B51F44">
        <w:rPr>
          <w:rFonts w:asciiTheme="minorHAnsi" w:hAnsiTheme="minorHAnsi" w:cstheme="minorHAnsi"/>
          <w:lang w:val="en-GB"/>
        </w:rPr>
        <w:t>was</w:t>
      </w:r>
      <w:r w:rsidRPr="00B51F44">
        <w:rPr>
          <w:rFonts w:asciiTheme="minorHAnsi" w:hAnsiTheme="minorHAnsi" w:cstheme="minorHAnsi"/>
          <w:lang w:val="en-GB"/>
        </w:rPr>
        <w:t xml:space="preserve"> qualified</w:t>
      </w:r>
      <w:r w:rsidR="009039CA" w:rsidRPr="00B51F44">
        <w:rPr>
          <w:rFonts w:asciiTheme="minorHAnsi" w:hAnsiTheme="minorHAnsi" w:cstheme="minorHAnsi"/>
          <w:lang w:val="en-GB"/>
        </w:rPr>
        <w:t>, including</w:t>
      </w:r>
      <w:r w:rsidRPr="00B51F44">
        <w:rPr>
          <w:rFonts w:asciiTheme="minorHAnsi" w:hAnsiTheme="minorHAnsi" w:cstheme="minorHAnsi"/>
          <w:lang w:val="en-GB"/>
        </w:rPr>
        <w:t>:</w:t>
      </w:r>
    </w:p>
    <w:p w14:paraId="296912F6" w14:textId="2FDC6A7E" w:rsidR="001C5E83" w:rsidRPr="00B51F44" w:rsidRDefault="001C5E83" w:rsidP="009039CA">
      <w:pPr>
        <w:pStyle w:val="Odstavecseseznamem"/>
        <w:numPr>
          <w:ilvl w:val="1"/>
          <w:numId w:val="44"/>
        </w:numPr>
        <w:spacing w:before="120" w:after="120"/>
        <w:jc w:val="both"/>
        <w:rPr>
          <w:rFonts w:asciiTheme="minorHAnsi" w:hAnsiTheme="minorHAnsi" w:cstheme="minorHAnsi"/>
          <w:lang w:val="en-GB"/>
        </w:rPr>
      </w:pPr>
      <w:r w:rsidRPr="00B51F44">
        <w:rPr>
          <w:rFonts w:asciiTheme="minorHAnsi" w:hAnsiTheme="minorHAnsi" w:cstheme="minorHAnsi"/>
          <w:lang w:val="en-GB"/>
        </w:rPr>
        <w:t>in 343 cases, a breach of the provisions of Section 4 was detected foll</w:t>
      </w:r>
      <w:r w:rsidRPr="00B51F44">
        <w:rPr>
          <w:rFonts w:asciiTheme="minorHAnsi" w:hAnsiTheme="minorHAnsi" w:cstheme="minorHAnsi"/>
          <w:lang w:val="en-GB"/>
        </w:rPr>
        <w:t xml:space="preserve">owing the provisions of </w:t>
      </w:r>
      <w:r w:rsidR="009039CA" w:rsidRPr="00B51F44">
        <w:rPr>
          <w:rFonts w:asciiTheme="minorHAnsi" w:hAnsiTheme="minorHAnsi" w:cstheme="minorHAnsi"/>
          <w:lang w:val="en-GB"/>
        </w:rPr>
        <w:t xml:space="preserve">Section </w:t>
      </w:r>
      <w:r w:rsidRPr="00B51F44">
        <w:rPr>
          <w:rFonts w:asciiTheme="minorHAnsi" w:hAnsiTheme="minorHAnsi" w:cstheme="minorHAnsi"/>
          <w:lang w:val="en-GB"/>
        </w:rPr>
        <w:t>5 par</w:t>
      </w:r>
      <w:r w:rsidRPr="00B51F44">
        <w:rPr>
          <w:rFonts w:asciiTheme="minorHAnsi" w:hAnsiTheme="minorHAnsi" w:cstheme="minorHAnsi"/>
          <w:lang w:val="en-GB"/>
        </w:rPr>
        <w:t xml:space="preserve">. 1, 2, 3, relating to deceptive conduct </w:t>
      </w:r>
    </w:p>
    <w:p w14:paraId="3F092808" w14:textId="0D12607D" w:rsidR="001C5E83" w:rsidRPr="00B51F44" w:rsidRDefault="001C5E83" w:rsidP="009039CA">
      <w:pPr>
        <w:pStyle w:val="Odstavecseseznamem"/>
        <w:numPr>
          <w:ilvl w:val="1"/>
          <w:numId w:val="44"/>
        </w:numPr>
        <w:spacing w:before="120" w:after="120"/>
        <w:jc w:val="both"/>
        <w:rPr>
          <w:rFonts w:asciiTheme="minorHAnsi" w:hAnsiTheme="minorHAnsi" w:cstheme="minorHAnsi"/>
          <w:lang w:val="en-GB"/>
        </w:rPr>
      </w:pPr>
      <w:r w:rsidRPr="00B51F44">
        <w:rPr>
          <w:rFonts w:asciiTheme="minorHAnsi" w:hAnsiTheme="minorHAnsi" w:cstheme="minorHAnsi"/>
          <w:lang w:val="en-GB"/>
        </w:rPr>
        <w:t xml:space="preserve">in 262 cases, a breach of the provisions of Section 4 was found following the provisions of </w:t>
      </w:r>
      <w:r w:rsidR="009039CA" w:rsidRPr="00B51F44">
        <w:rPr>
          <w:rFonts w:asciiTheme="minorHAnsi" w:hAnsiTheme="minorHAnsi" w:cstheme="minorHAnsi"/>
          <w:lang w:val="en-GB"/>
        </w:rPr>
        <w:t xml:space="preserve">Section </w:t>
      </w:r>
      <w:r w:rsidRPr="00B51F44">
        <w:rPr>
          <w:rFonts w:asciiTheme="minorHAnsi" w:hAnsiTheme="minorHAnsi" w:cstheme="minorHAnsi"/>
          <w:lang w:val="en-GB"/>
        </w:rPr>
        <w:t>5a par. 1, 2, addressing deceptive omissions</w:t>
      </w:r>
    </w:p>
    <w:p w14:paraId="5D518B61" w14:textId="2631E5C5" w:rsidR="001C5E83" w:rsidRPr="00B51F44" w:rsidRDefault="001C5E83" w:rsidP="009039CA">
      <w:pPr>
        <w:pStyle w:val="Odstavecseseznamem"/>
        <w:numPr>
          <w:ilvl w:val="1"/>
          <w:numId w:val="44"/>
        </w:numPr>
        <w:spacing w:before="120" w:after="120"/>
        <w:jc w:val="both"/>
        <w:rPr>
          <w:rFonts w:asciiTheme="minorHAnsi" w:hAnsiTheme="minorHAnsi" w:cstheme="minorHAnsi"/>
          <w:lang w:val="en-GB"/>
        </w:rPr>
      </w:pPr>
      <w:proofErr w:type="gramStart"/>
      <w:r w:rsidRPr="00B51F44">
        <w:rPr>
          <w:rFonts w:asciiTheme="minorHAnsi" w:hAnsiTheme="minorHAnsi" w:cstheme="minorHAnsi"/>
          <w:lang w:val="en-GB"/>
        </w:rPr>
        <w:t>in</w:t>
      </w:r>
      <w:proofErr w:type="gramEnd"/>
      <w:r w:rsidRPr="00B51F44">
        <w:rPr>
          <w:rFonts w:asciiTheme="minorHAnsi" w:hAnsiTheme="minorHAnsi" w:cstheme="minorHAnsi"/>
          <w:lang w:val="en-GB"/>
        </w:rPr>
        <w:t xml:space="preserve"> 10 cases, a breach of the provisions of Section 4 para. 1, 4</w:t>
      </w:r>
    </w:p>
    <w:p w14:paraId="1C5CE53A" w14:textId="77CA7041" w:rsidR="001C5E83" w:rsidRPr="00B51F44" w:rsidRDefault="001C5E83" w:rsidP="009039CA">
      <w:pPr>
        <w:pStyle w:val="Odstavecseseznamem"/>
        <w:numPr>
          <w:ilvl w:val="1"/>
          <w:numId w:val="44"/>
        </w:numPr>
        <w:spacing w:before="120" w:after="120"/>
        <w:jc w:val="both"/>
        <w:rPr>
          <w:rFonts w:asciiTheme="minorHAnsi" w:hAnsiTheme="minorHAnsi" w:cstheme="minorHAnsi"/>
          <w:lang w:val="en-GB"/>
        </w:rPr>
      </w:pPr>
      <w:r w:rsidRPr="00B51F44">
        <w:rPr>
          <w:rFonts w:asciiTheme="minorHAnsi" w:hAnsiTheme="minorHAnsi" w:cstheme="minorHAnsi"/>
          <w:lang w:val="en-GB"/>
        </w:rPr>
        <w:t>i</w:t>
      </w:r>
      <w:r w:rsidRPr="00B51F44">
        <w:rPr>
          <w:rFonts w:asciiTheme="minorHAnsi" w:hAnsiTheme="minorHAnsi" w:cstheme="minorHAnsi"/>
          <w:lang w:val="en-GB"/>
        </w:rPr>
        <w:t xml:space="preserve">n 1 case it was a </w:t>
      </w:r>
      <w:r w:rsidRPr="00B51F44">
        <w:rPr>
          <w:rFonts w:asciiTheme="minorHAnsi" w:hAnsiTheme="minorHAnsi" w:cstheme="minorHAnsi"/>
          <w:lang w:val="en-GB"/>
        </w:rPr>
        <w:t>breach</w:t>
      </w:r>
      <w:r w:rsidRPr="00B51F44">
        <w:rPr>
          <w:rFonts w:asciiTheme="minorHAnsi" w:hAnsiTheme="minorHAnsi" w:cstheme="minorHAnsi"/>
          <w:lang w:val="en-GB"/>
        </w:rPr>
        <w:t xml:space="preserve"> of the provision of </w:t>
      </w:r>
      <w:r w:rsidRPr="00B51F44">
        <w:rPr>
          <w:rFonts w:asciiTheme="minorHAnsi" w:hAnsiTheme="minorHAnsi" w:cstheme="minorHAnsi"/>
          <w:lang w:val="en-GB"/>
        </w:rPr>
        <w:t>Section</w:t>
      </w:r>
      <w:r w:rsidRPr="00B51F44">
        <w:rPr>
          <w:rFonts w:asciiTheme="minorHAnsi" w:hAnsiTheme="minorHAnsi" w:cstheme="minorHAnsi"/>
          <w:lang w:val="en-GB"/>
        </w:rPr>
        <w:t xml:space="preserve"> 5b, an aggressive commercial practice</w:t>
      </w:r>
    </w:p>
    <w:p w14:paraId="32D2A582" w14:textId="6CCE45A6" w:rsidR="001C5E83" w:rsidRPr="00B51F44" w:rsidRDefault="001C5E83" w:rsidP="001C5E83">
      <w:pPr>
        <w:pStyle w:val="Odstavecseseznamem"/>
        <w:numPr>
          <w:ilvl w:val="0"/>
          <w:numId w:val="40"/>
        </w:numPr>
        <w:spacing w:before="120" w:after="120"/>
        <w:jc w:val="both"/>
        <w:rPr>
          <w:rFonts w:asciiTheme="minorHAnsi" w:hAnsiTheme="minorHAnsi" w:cstheme="minorHAnsi"/>
          <w:lang w:val="en-GB"/>
        </w:rPr>
      </w:pPr>
      <w:r w:rsidRPr="00B51F44">
        <w:rPr>
          <w:rFonts w:asciiTheme="minorHAnsi" w:hAnsiTheme="minorHAnsi" w:cstheme="minorHAnsi"/>
          <w:lang w:val="en-GB"/>
        </w:rPr>
        <w:t xml:space="preserve"> in 429 cases, the trader has breached the obligation to inform the consumer about the scope, conditions and </w:t>
      </w:r>
      <w:r w:rsidRPr="00B51F44">
        <w:rPr>
          <w:rFonts w:asciiTheme="minorHAnsi" w:hAnsiTheme="minorHAnsi" w:cstheme="minorHAnsi"/>
          <w:lang w:val="en-GB"/>
        </w:rPr>
        <w:t>way</w:t>
      </w:r>
      <w:r w:rsidRPr="00B51F44">
        <w:rPr>
          <w:rFonts w:asciiTheme="minorHAnsi" w:hAnsiTheme="minorHAnsi" w:cstheme="minorHAnsi"/>
          <w:lang w:val="en-GB"/>
        </w:rPr>
        <w:t xml:space="preserve"> of making </w:t>
      </w:r>
      <w:r w:rsidRPr="00B51F44">
        <w:rPr>
          <w:rFonts w:asciiTheme="minorHAnsi" w:hAnsiTheme="minorHAnsi" w:cstheme="minorHAnsi"/>
          <w:lang w:val="en-GB"/>
        </w:rPr>
        <w:t>a claim</w:t>
      </w:r>
      <w:r w:rsidRPr="00B51F44">
        <w:rPr>
          <w:rFonts w:asciiTheme="minorHAnsi" w:hAnsiTheme="minorHAnsi" w:cstheme="minorHAnsi"/>
          <w:lang w:val="en-GB"/>
        </w:rPr>
        <w:t xml:space="preserve"> together with details of where the complaint can be made (</w:t>
      </w:r>
      <w:r w:rsidRPr="00B51F44">
        <w:rPr>
          <w:rFonts w:asciiTheme="minorHAnsi" w:hAnsiTheme="minorHAnsi" w:cstheme="minorHAnsi"/>
          <w:lang w:val="en-GB"/>
        </w:rPr>
        <w:t>Section</w:t>
      </w:r>
      <w:r w:rsidRPr="00B51F44">
        <w:rPr>
          <w:rFonts w:asciiTheme="minorHAnsi" w:hAnsiTheme="minorHAnsi" w:cstheme="minorHAnsi"/>
          <w:lang w:val="en-GB"/>
        </w:rPr>
        <w:t xml:space="preserve"> 13)</w:t>
      </w:r>
      <w:r w:rsidRPr="00B51F44">
        <w:rPr>
          <w:rFonts w:asciiTheme="minorHAnsi" w:hAnsiTheme="minorHAnsi" w:cstheme="minorHAnsi"/>
          <w:lang w:val="en-GB"/>
        </w:rPr>
        <w:t>;</w:t>
      </w:r>
    </w:p>
    <w:p w14:paraId="4E60F8E3" w14:textId="3F90CB4A" w:rsidR="001C5E83" w:rsidRPr="00B51F44" w:rsidRDefault="001C5E83" w:rsidP="001C5E83">
      <w:pPr>
        <w:pStyle w:val="Odstavecseseznamem"/>
        <w:numPr>
          <w:ilvl w:val="0"/>
          <w:numId w:val="40"/>
        </w:numPr>
        <w:spacing w:before="120" w:after="120"/>
        <w:jc w:val="both"/>
        <w:rPr>
          <w:rFonts w:asciiTheme="minorHAnsi" w:hAnsiTheme="minorHAnsi" w:cstheme="minorHAnsi"/>
          <w:lang w:val="en-GB"/>
        </w:rPr>
      </w:pPr>
      <w:r w:rsidRPr="00B51F44">
        <w:rPr>
          <w:rFonts w:asciiTheme="minorHAnsi" w:hAnsiTheme="minorHAnsi" w:cstheme="minorHAnsi"/>
          <w:lang w:val="en-GB"/>
        </w:rPr>
        <w:t>in 389 cases, the trader did not inform the consumer about the out-of-court consumer dispute reso</w:t>
      </w:r>
      <w:r w:rsidRPr="00B51F44">
        <w:rPr>
          <w:rFonts w:asciiTheme="minorHAnsi" w:hAnsiTheme="minorHAnsi" w:cstheme="minorHAnsi"/>
          <w:lang w:val="en-GB"/>
        </w:rPr>
        <w:t xml:space="preserve">lution entity (Section </w:t>
      </w:r>
      <w:r w:rsidRPr="00B51F44">
        <w:rPr>
          <w:rFonts w:asciiTheme="minorHAnsi" w:hAnsiTheme="minorHAnsi" w:cstheme="minorHAnsi"/>
          <w:lang w:val="en-GB"/>
        </w:rPr>
        <w:t>14)</w:t>
      </w:r>
    </w:p>
    <w:p w14:paraId="7F1F3368" w14:textId="77777777" w:rsidR="009039CA" w:rsidRPr="00B51F44" w:rsidRDefault="009039CA" w:rsidP="009039CA">
      <w:pPr>
        <w:spacing w:before="120" w:after="120" w:line="276" w:lineRule="auto"/>
        <w:jc w:val="both"/>
        <w:rPr>
          <w:rFonts w:asciiTheme="minorHAnsi" w:hAnsiTheme="minorHAnsi" w:cstheme="minorHAnsi"/>
          <w:sz w:val="22"/>
          <w:szCs w:val="22"/>
          <w:lang w:val="en-GB"/>
        </w:rPr>
      </w:pPr>
      <w:r w:rsidRPr="00B51F44">
        <w:rPr>
          <w:rFonts w:asciiTheme="minorHAnsi" w:hAnsiTheme="minorHAnsi" w:cstheme="minorHAnsi"/>
          <w:sz w:val="22"/>
          <w:szCs w:val="22"/>
          <w:lang w:val="en-GB"/>
        </w:rPr>
        <w:t xml:space="preserve">Violation of other provisions of Act No. 634/1992 Coll., on Consumer Protection </w:t>
      </w:r>
      <w:proofErr w:type="gramStart"/>
      <w:r w:rsidRPr="00B51F44">
        <w:rPr>
          <w:rFonts w:asciiTheme="minorHAnsi" w:hAnsiTheme="minorHAnsi" w:cstheme="minorHAnsi"/>
          <w:sz w:val="22"/>
          <w:szCs w:val="22"/>
          <w:lang w:val="en-GB"/>
        </w:rPr>
        <w:t>was found</w:t>
      </w:r>
      <w:proofErr w:type="gramEnd"/>
      <w:r w:rsidRPr="00B51F44">
        <w:rPr>
          <w:rFonts w:asciiTheme="minorHAnsi" w:hAnsiTheme="minorHAnsi" w:cstheme="minorHAnsi"/>
          <w:sz w:val="22"/>
          <w:szCs w:val="22"/>
          <w:lang w:val="en-GB"/>
        </w:rPr>
        <w:t xml:space="preserve"> to a lesser extent.</w:t>
      </w:r>
    </w:p>
    <w:p w14:paraId="3C5530FD" w14:textId="67CDC219" w:rsidR="009039CA" w:rsidRPr="00B51F44" w:rsidRDefault="009039CA" w:rsidP="009039CA">
      <w:pPr>
        <w:spacing w:before="120" w:after="120" w:line="276" w:lineRule="auto"/>
        <w:jc w:val="both"/>
        <w:rPr>
          <w:rFonts w:asciiTheme="minorHAnsi" w:hAnsiTheme="minorHAnsi" w:cstheme="minorHAnsi"/>
          <w:sz w:val="22"/>
          <w:szCs w:val="22"/>
          <w:lang w:val="en-GB"/>
        </w:rPr>
      </w:pPr>
      <w:r w:rsidRPr="00B51F44">
        <w:rPr>
          <w:rFonts w:asciiTheme="minorHAnsi" w:hAnsiTheme="minorHAnsi" w:cstheme="minorHAnsi"/>
          <w:sz w:val="22"/>
          <w:szCs w:val="22"/>
          <w:lang w:val="en-GB"/>
        </w:rPr>
        <w:t xml:space="preserve">Furthermore, traders (in 18 cases) did not comply with Act No. 65/2017 Coll., on </w:t>
      </w:r>
      <w:r w:rsidRPr="00B51F44">
        <w:rPr>
          <w:rFonts w:asciiTheme="minorHAnsi" w:hAnsiTheme="minorHAnsi" w:cstheme="minorHAnsi"/>
          <w:sz w:val="22"/>
          <w:szCs w:val="22"/>
          <w:lang w:val="en-GB"/>
        </w:rPr>
        <w:t>Health Protection from the Harmful Effects of Drugs</w:t>
      </w:r>
      <w:r w:rsidRPr="00B51F44">
        <w:rPr>
          <w:rFonts w:asciiTheme="minorHAnsi" w:hAnsiTheme="minorHAnsi" w:cstheme="minorHAnsi"/>
          <w:sz w:val="22"/>
          <w:szCs w:val="22"/>
          <w:lang w:val="en-GB"/>
        </w:rPr>
        <w:t xml:space="preserve">. Most often, in 13 cases, the </w:t>
      </w:r>
      <w:r w:rsidRPr="00B51F44">
        <w:rPr>
          <w:rFonts w:asciiTheme="minorHAnsi" w:hAnsiTheme="minorHAnsi" w:cstheme="minorHAnsi"/>
          <w:sz w:val="22"/>
          <w:szCs w:val="22"/>
          <w:lang w:val="en-GB"/>
        </w:rPr>
        <w:t xml:space="preserve">online </w:t>
      </w:r>
      <w:r w:rsidRPr="00B51F44">
        <w:rPr>
          <w:rFonts w:asciiTheme="minorHAnsi" w:hAnsiTheme="minorHAnsi" w:cstheme="minorHAnsi"/>
          <w:sz w:val="22"/>
          <w:szCs w:val="22"/>
          <w:lang w:val="en-GB"/>
        </w:rPr>
        <w:t>seller did not rule out the sale of tobacco products, smoking equipment, herbal products intended for smoking and e-cigarettes to persons under the age of 18.</w:t>
      </w:r>
    </w:p>
    <w:p w14:paraId="38C2B98E" w14:textId="096C4CBB" w:rsidR="002C35EB" w:rsidRPr="00B51F44" w:rsidRDefault="009039CA" w:rsidP="005E5DFA">
      <w:pPr>
        <w:spacing w:before="120" w:after="120" w:line="276" w:lineRule="auto"/>
        <w:jc w:val="both"/>
        <w:rPr>
          <w:rFonts w:asciiTheme="minorHAnsi" w:hAnsiTheme="minorHAnsi" w:cstheme="minorHAnsi"/>
          <w:sz w:val="22"/>
          <w:szCs w:val="22"/>
          <w:lang w:val="en-GB"/>
        </w:rPr>
      </w:pPr>
      <w:r w:rsidRPr="00B51F44">
        <w:rPr>
          <w:rFonts w:asciiTheme="minorHAnsi" w:hAnsiTheme="minorHAnsi" w:cstheme="minorHAnsi"/>
          <w:sz w:val="22"/>
          <w:szCs w:val="22"/>
          <w:lang w:val="en-GB"/>
        </w:rPr>
        <w:t>Other selected breaches of legal regulations</w:t>
      </w:r>
      <w:r w:rsidR="002C35EB" w:rsidRPr="00B51F44">
        <w:rPr>
          <w:rFonts w:asciiTheme="minorHAnsi" w:hAnsiTheme="minorHAnsi" w:cstheme="minorHAnsi"/>
          <w:sz w:val="22"/>
          <w:szCs w:val="22"/>
          <w:lang w:val="en-GB"/>
        </w:rPr>
        <w:t>:</w:t>
      </w:r>
    </w:p>
    <w:p w14:paraId="2B23B78D" w14:textId="0B1B7704" w:rsidR="009039CA" w:rsidRPr="00B51F44" w:rsidRDefault="009039CA" w:rsidP="009039CA">
      <w:pPr>
        <w:pStyle w:val="Odstavecseseznamem"/>
        <w:numPr>
          <w:ilvl w:val="0"/>
          <w:numId w:val="41"/>
        </w:numPr>
        <w:shd w:val="clear" w:color="auto" w:fill="FFFFFF" w:themeFill="background1"/>
        <w:spacing w:before="120" w:after="120"/>
        <w:jc w:val="both"/>
        <w:rPr>
          <w:rFonts w:asciiTheme="minorHAnsi" w:hAnsiTheme="minorHAnsi" w:cstheme="minorHAnsi"/>
          <w:lang w:val="en-GB"/>
        </w:rPr>
      </w:pPr>
      <w:r w:rsidRPr="00B51F44">
        <w:rPr>
          <w:rFonts w:asciiTheme="minorHAnsi" w:hAnsiTheme="minorHAnsi" w:cstheme="minorHAnsi"/>
          <w:lang w:val="en-GB"/>
        </w:rPr>
        <w:t>in 43 cases, a breach of Act No. 22/1997 Coll., on Technical Requirements for Products</w:t>
      </w:r>
      <w:r w:rsidRPr="00B51F44">
        <w:rPr>
          <w:rFonts w:asciiTheme="minorHAnsi" w:hAnsiTheme="minorHAnsi" w:cstheme="minorHAnsi"/>
          <w:lang w:val="en-GB"/>
        </w:rPr>
        <w:t>;</w:t>
      </w:r>
    </w:p>
    <w:p w14:paraId="144572FE" w14:textId="7744F63A" w:rsidR="009039CA" w:rsidRPr="00B51F44" w:rsidRDefault="009039CA" w:rsidP="009039CA">
      <w:pPr>
        <w:pStyle w:val="Odstavecseseznamem"/>
        <w:numPr>
          <w:ilvl w:val="0"/>
          <w:numId w:val="41"/>
        </w:numPr>
        <w:shd w:val="clear" w:color="auto" w:fill="FFFFFF" w:themeFill="background1"/>
        <w:spacing w:before="120" w:after="120"/>
        <w:jc w:val="both"/>
        <w:rPr>
          <w:rFonts w:asciiTheme="minorHAnsi" w:hAnsiTheme="minorHAnsi" w:cstheme="minorHAnsi"/>
          <w:lang w:val="en-GB"/>
        </w:rPr>
      </w:pPr>
      <w:r w:rsidRPr="00B51F44">
        <w:rPr>
          <w:rFonts w:asciiTheme="minorHAnsi" w:hAnsiTheme="minorHAnsi" w:cstheme="minorHAnsi"/>
          <w:lang w:val="en-GB"/>
        </w:rPr>
        <w:lastRenderedPageBreak/>
        <w:t xml:space="preserve">in 32 cases, Act No. 255/2012 Coll., on </w:t>
      </w:r>
      <w:r w:rsidRPr="00B51F44">
        <w:rPr>
          <w:rFonts w:asciiTheme="minorHAnsi" w:hAnsiTheme="minorHAnsi" w:cstheme="minorHAnsi"/>
          <w:lang w:val="en-GB"/>
        </w:rPr>
        <w:t>Inspection</w:t>
      </w:r>
      <w:r w:rsidRPr="00B51F44">
        <w:rPr>
          <w:rFonts w:asciiTheme="minorHAnsi" w:hAnsiTheme="minorHAnsi" w:cstheme="minorHAnsi"/>
          <w:lang w:val="en-GB"/>
        </w:rPr>
        <w:t>, was violated because the seller did not allow the inspection authority to carry out the inspection, or did not provide the necessary cooperation or the measures imposed were not fulfilled</w:t>
      </w:r>
      <w:r w:rsidRPr="00B51F44">
        <w:rPr>
          <w:rFonts w:asciiTheme="minorHAnsi" w:hAnsiTheme="minorHAnsi" w:cstheme="minorHAnsi"/>
          <w:lang w:val="en-GB"/>
        </w:rPr>
        <w:t xml:space="preserve"> from his side;</w:t>
      </w:r>
    </w:p>
    <w:p w14:paraId="0A599FB5" w14:textId="579EF1AA" w:rsidR="009039CA" w:rsidRPr="00B51F44" w:rsidRDefault="009039CA" w:rsidP="009039CA">
      <w:pPr>
        <w:pStyle w:val="Odstavecseseznamem"/>
        <w:numPr>
          <w:ilvl w:val="0"/>
          <w:numId w:val="41"/>
        </w:numPr>
        <w:shd w:val="clear" w:color="auto" w:fill="FFFFFF" w:themeFill="background1"/>
        <w:spacing w:before="120" w:after="120"/>
        <w:jc w:val="both"/>
        <w:rPr>
          <w:rFonts w:asciiTheme="minorHAnsi" w:hAnsiTheme="minorHAnsi" w:cstheme="minorHAnsi"/>
          <w:lang w:val="en-GB"/>
        </w:rPr>
      </w:pPr>
      <w:r w:rsidRPr="00B51F44">
        <w:rPr>
          <w:rFonts w:asciiTheme="minorHAnsi" w:hAnsiTheme="minorHAnsi" w:cstheme="minorHAnsi"/>
          <w:lang w:val="en-GB"/>
        </w:rPr>
        <w:t xml:space="preserve">in 51 cases, </w:t>
      </w:r>
      <w:r w:rsidR="00AE457C" w:rsidRPr="00B51F44">
        <w:rPr>
          <w:rFonts w:asciiTheme="minorHAnsi" w:hAnsiTheme="minorHAnsi" w:cstheme="minorHAnsi"/>
          <w:lang w:val="en-GB"/>
        </w:rPr>
        <w:t>Regulation (EU) No 1007/2011 of the European Parliament and of the Council of 27 September 2011 on textile fibre names and related labelling and marking of the fibre composition of textile products and repealing Council Directive 73/44/EEC and Directives 96/73/EC and 2008/121/EC of the European Parliament and of the Council</w:t>
      </w:r>
    </w:p>
    <w:p w14:paraId="53E8589D" w14:textId="05105FC8" w:rsidR="002C35EB" w:rsidRPr="00B51F44" w:rsidRDefault="002C35EB" w:rsidP="00AE457C">
      <w:pPr>
        <w:shd w:val="clear" w:color="auto" w:fill="FFFFFF" w:themeFill="background1"/>
        <w:spacing w:before="120" w:after="120"/>
        <w:jc w:val="both"/>
        <w:rPr>
          <w:rFonts w:asciiTheme="minorHAnsi" w:hAnsiTheme="minorHAnsi" w:cstheme="minorHAnsi"/>
          <w:lang w:val="en-GB"/>
        </w:rPr>
      </w:pPr>
    </w:p>
    <w:p w14:paraId="139C5FC5" w14:textId="38908976" w:rsidR="002C35EB" w:rsidRPr="00B51F44" w:rsidRDefault="00E22FF2" w:rsidP="005E5DFA">
      <w:pPr>
        <w:spacing w:before="120" w:after="120" w:line="276" w:lineRule="auto"/>
        <w:rPr>
          <w:rFonts w:asciiTheme="minorHAnsi" w:hAnsiTheme="minorHAnsi" w:cstheme="minorHAnsi"/>
          <w:b/>
          <w:sz w:val="22"/>
          <w:szCs w:val="22"/>
          <w:lang w:val="en-GB"/>
        </w:rPr>
      </w:pPr>
      <w:r w:rsidRPr="00B51F44">
        <w:rPr>
          <w:rFonts w:asciiTheme="minorHAnsi" w:hAnsiTheme="minorHAnsi" w:cstheme="minorHAnsi"/>
          <w:b/>
          <w:sz w:val="22"/>
          <w:szCs w:val="22"/>
          <w:lang w:val="en-GB"/>
        </w:rPr>
        <w:t>Imposed measures</w:t>
      </w:r>
      <w:r w:rsidR="002C35EB" w:rsidRPr="00B51F44">
        <w:rPr>
          <w:rFonts w:asciiTheme="minorHAnsi" w:hAnsiTheme="minorHAnsi" w:cstheme="minorHAnsi"/>
          <w:b/>
          <w:sz w:val="22"/>
          <w:szCs w:val="22"/>
          <w:lang w:val="en-GB"/>
        </w:rPr>
        <w:t xml:space="preserve"> </w:t>
      </w:r>
    </w:p>
    <w:p w14:paraId="38443145" w14:textId="31577B3E" w:rsidR="00E22FF2" w:rsidRPr="00B51F44" w:rsidRDefault="00E22FF2" w:rsidP="00E22FF2">
      <w:pPr>
        <w:tabs>
          <w:tab w:val="left" w:pos="9214"/>
        </w:tabs>
        <w:spacing w:before="120" w:after="120" w:line="276" w:lineRule="auto"/>
        <w:jc w:val="both"/>
        <w:rPr>
          <w:rFonts w:asciiTheme="minorHAnsi" w:hAnsiTheme="minorHAnsi" w:cstheme="minorHAnsi"/>
          <w:sz w:val="22"/>
          <w:szCs w:val="22"/>
          <w:lang w:val="en-GB"/>
        </w:rPr>
      </w:pPr>
      <w:r w:rsidRPr="00B51F44">
        <w:rPr>
          <w:rFonts w:asciiTheme="minorHAnsi" w:hAnsiTheme="minorHAnsi" w:cstheme="minorHAnsi"/>
          <w:sz w:val="22"/>
          <w:szCs w:val="22"/>
          <w:lang w:val="en-GB"/>
        </w:rPr>
        <w:t>Based on the</w:t>
      </w:r>
      <w:r w:rsidRPr="00B51F44">
        <w:rPr>
          <w:rFonts w:asciiTheme="minorHAnsi" w:hAnsiTheme="minorHAnsi" w:cstheme="minorHAnsi"/>
          <w:sz w:val="22"/>
          <w:szCs w:val="22"/>
          <w:lang w:val="en-GB"/>
        </w:rPr>
        <w:t xml:space="preserve"> detected infringements during the reference period</w:t>
      </w:r>
      <w:r w:rsidRPr="00B51F44">
        <w:rPr>
          <w:rFonts w:asciiTheme="minorHAnsi" w:hAnsiTheme="minorHAnsi" w:cstheme="minorHAnsi"/>
          <w:sz w:val="22"/>
          <w:szCs w:val="22"/>
          <w:lang w:val="en-GB"/>
        </w:rPr>
        <w:t>, t</w:t>
      </w:r>
      <w:r w:rsidRPr="00B51F44">
        <w:rPr>
          <w:rFonts w:asciiTheme="minorHAnsi" w:hAnsiTheme="minorHAnsi" w:cstheme="minorHAnsi"/>
          <w:sz w:val="22"/>
          <w:szCs w:val="22"/>
          <w:lang w:val="en-GB"/>
        </w:rPr>
        <w:t xml:space="preserve">he Czech Trade Inspection Authority imposed </w:t>
      </w:r>
      <w:proofErr w:type="gramStart"/>
      <w:r w:rsidRPr="00B51F44">
        <w:rPr>
          <w:rFonts w:asciiTheme="minorHAnsi" w:hAnsiTheme="minorHAnsi" w:cstheme="minorHAnsi"/>
          <w:sz w:val="22"/>
          <w:szCs w:val="22"/>
          <w:lang w:val="en-GB"/>
        </w:rPr>
        <w:t>a total of 637</w:t>
      </w:r>
      <w:proofErr w:type="gramEnd"/>
      <w:r w:rsidRPr="00B51F44">
        <w:rPr>
          <w:rFonts w:asciiTheme="minorHAnsi" w:hAnsiTheme="minorHAnsi" w:cstheme="minorHAnsi"/>
          <w:sz w:val="22"/>
          <w:szCs w:val="22"/>
          <w:lang w:val="en-GB"/>
        </w:rPr>
        <w:t xml:space="preserve"> fines </w:t>
      </w:r>
      <w:r w:rsidRPr="00B51F44">
        <w:rPr>
          <w:rFonts w:asciiTheme="minorHAnsi" w:hAnsiTheme="minorHAnsi" w:cstheme="minorHAnsi"/>
          <w:sz w:val="22"/>
          <w:szCs w:val="22"/>
          <w:lang w:val="en-GB"/>
        </w:rPr>
        <w:t>amounting to</w:t>
      </w:r>
      <w:r w:rsidRPr="00B51F44">
        <w:rPr>
          <w:rFonts w:asciiTheme="minorHAnsi" w:hAnsiTheme="minorHAnsi" w:cstheme="minorHAnsi"/>
          <w:sz w:val="22"/>
          <w:szCs w:val="22"/>
          <w:lang w:val="en-GB"/>
        </w:rPr>
        <w:t xml:space="preserve"> CZK 5,324,300. </w:t>
      </w:r>
    </w:p>
    <w:p w14:paraId="611BC494" w14:textId="28B787C2" w:rsidR="00E22FF2" w:rsidRPr="00B51F44" w:rsidRDefault="00E22FF2" w:rsidP="00E22FF2">
      <w:pPr>
        <w:tabs>
          <w:tab w:val="left" w:pos="9214"/>
        </w:tabs>
        <w:spacing w:before="120" w:after="120" w:line="276" w:lineRule="auto"/>
        <w:jc w:val="both"/>
        <w:rPr>
          <w:rFonts w:asciiTheme="minorHAnsi" w:hAnsiTheme="minorHAnsi" w:cstheme="minorHAnsi"/>
          <w:sz w:val="22"/>
          <w:szCs w:val="22"/>
          <w:lang w:val="en-GB"/>
        </w:rPr>
      </w:pPr>
      <w:r w:rsidRPr="00B51F44">
        <w:rPr>
          <w:rFonts w:asciiTheme="minorHAnsi" w:hAnsiTheme="minorHAnsi" w:cstheme="minorHAnsi"/>
          <w:sz w:val="22"/>
          <w:szCs w:val="22"/>
          <w:lang w:val="en-GB"/>
        </w:rPr>
        <w:t xml:space="preserve">In 2020, the </w:t>
      </w:r>
      <w:r w:rsidRPr="00B51F44">
        <w:rPr>
          <w:rFonts w:asciiTheme="minorHAnsi" w:hAnsiTheme="minorHAnsi" w:cstheme="minorHAnsi"/>
          <w:sz w:val="22"/>
          <w:szCs w:val="22"/>
          <w:lang w:val="en-GB"/>
        </w:rPr>
        <w:t>CTIA</w:t>
      </w:r>
      <w:r w:rsidRPr="00B51F44">
        <w:rPr>
          <w:rFonts w:asciiTheme="minorHAnsi" w:hAnsiTheme="minorHAnsi" w:cstheme="minorHAnsi"/>
          <w:sz w:val="22"/>
          <w:szCs w:val="22"/>
          <w:lang w:val="en-GB"/>
        </w:rPr>
        <w:t xml:space="preserve"> imposed the highest fine, </w:t>
      </w:r>
      <w:proofErr w:type="gramStart"/>
      <w:r w:rsidRPr="00B51F44">
        <w:rPr>
          <w:rFonts w:asciiTheme="minorHAnsi" w:hAnsiTheme="minorHAnsi" w:cstheme="minorHAnsi"/>
          <w:sz w:val="22"/>
          <w:szCs w:val="22"/>
          <w:lang w:val="en-GB"/>
        </w:rPr>
        <w:t>in the amount of</w:t>
      </w:r>
      <w:proofErr w:type="gramEnd"/>
      <w:r w:rsidRPr="00B51F44">
        <w:rPr>
          <w:rFonts w:asciiTheme="minorHAnsi" w:hAnsiTheme="minorHAnsi" w:cstheme="minorHAnsi"/>
          <w:sz w:val="22"/>
          <w:szCs w:val="22"/>
          <w:lang w:val="en-GB"/>
        </w:rPr>
        <w:t xml:space="preserve"> CZK 200,000, for deficiencies identified during the inspection (started in 2018) with Deal Extreme Czech s.r.o., which committed, among other things, unfair commercial pract</w:t>
      </w:r>
      <w:r w:rsidRPr="00B51F44">
        <w:rPr>
          <w:rFonts w:asciiTheme="minorHAnsi" w:hAnsiTheme="minorHAnsi" w:cstheme="minorHAnsi"/>
          <w:sz w:val="22"/>
          <w:szCs w:val="22"/>
          <w:lang w:val="en-GB"/>
        </w:rPr>
        <w:t>ices on its www.ttop.cz website. They provided</w:t>
      </w:r>
      <w:r w:rsidRPr="00B51F44">
        <w:rPr>
          <w:rFonts w:asciiTheme="minorHAnsi" w:hAnsiTheme="minorHAnsi" w:cstheme="minorHAnsi"/>
          <w:sz w:val="22"/>
          <w:szCs w:val="22"/>
          <w:lang w:val="en-GB"/>
        </w:rPr>
        <w:t xml:space="preserve"> substantial information about the right of withdrawal from the purchase contract in an unclear and ambiguous manner. The company also did not ensure that the product purchased through the www.ttop.cz website </w:t>
      </w:r>
      <w:proofErr w:type="gramStart"/>
      <w:r w:rsidRPr="00B51F44">
        <w:rPr>
          <w:rFonts w:asciiTheme="minorHAnsi" w:hAnsiTheme="minorHAnsi" w:cstheme="minorHAnsi"/>
          <w:sz w:val="22"/>
          <w:szCs w:val="22"/>
          <w:lang w:val="en-GB"/>
        </w:rPr>
        <w:t xml:space="preserve">was </w:t>
      </w:r>
      <w:r w:rsidR="00DA0FD0" w:rsidRPr="00B51F44">
        <w:rPr>
          <w:rFonts w:asciiTheme="minorHAnsi" w:hAnsiTheme="minorHAnsi" w:cstheme="minorHAnsi"/>
          <w:sz w:val="22"/>
          <w:szCs w:val="22"/>
          <w:lang w:val="en-GB"/>
        </w:rPr>
        <w:t>accompanied</w:t>
      </w:r>
      <w:proofErr w:type="gramEnd"/>
      <w:r w:rsidR="00DA0FD0" w:rsidRPr="00B51F44">
        <w:rPr>
          <w:rFonts w:asciiTheme="minorHAnsi" w:hAnsiTheme="minorHAnsi" w:cstheme="minorHAnsi"/>
          <w:sz w:val="22"/>
          <w:szCs w:val="22"/>
          <w:lang w:val="en-GB"/>
        </w:rPr>
        <w:t xml:space="preserve"> by</w:t>
      </w:r>
      <w:r w:rsidRPr="00B51F44">
        <w:rPr>
          <w:rFonts w:asciiTheme="minorHAnsi" w:hAnsiTheme="minorHAnsi" w:cstheme="minorHAnsi"/>
          <w:sz w:val="22"/>
          <w:szCs w:val="22"/>
          <w:lang w:val="en-GB"/>
        </w:rPr>
        <w:t xml:space="preserve"> instructions on </w:t>
      </w:r>
      <w:r w:rsidR="00DA0FD0" w:rsidRPr="00B51F44">
        <w:rPr>
          <w:rFonts w:asciiTheme="minorHAnsi" w:hAnsiTheme="minorHAnsi" w:cstheme="minorHAnsi"/>
          <w:sz w:val="22"/>
          <w:szCs w:val="22"/>
          <w:lang w:val="en-GB"/>
        </w:rPr>
        <w:t xml:space="preserve">the </w:t>
      </w:r>
      <w:r w:rsidRPr="00B51F44">
        <w:rPr>
          <w:rFonts w:asciiTheme="minorHAnsi" w:hAnsiTheme="minorHAnsi" w:cstheme="minorHAnsi"/>
          <w:sz w:val="22"/>
          <w:szCs w:val="22"/>
          <w:lang w:val="en-GB"/>
        </w:rPr>
        <w:t xml:space="preserve">use, maintenance and hazards in the Czech language, even though this was necessary for a particular product. Furthermore, for example, </w:t>
      </w:r>
      <w:r w:rsidR="00DA0FD0" w:rsidRPr="00B51F44">
        <w:rPr>
          <w:rFonts w:asciiTheme="minorHAnsi" w:hAnsiTheme="minorHAnsi" w:cstheme="minorHAnsi"/>
          <w:sz w:val="22"/>
          <w:szCs w:val="22"/>
          <w:lang w:val="en-GB"/>
        </w:rPr>
        <w:t>they</w:t>
      </w:r>
      <w:r w:rsidRPr="00B51F44">
        <w:rPr>
          <w:rFonts w:asciiTheme="minorHAnsi" w:hAnsiTheme="minorHAnsi" w:cstheme="minorHAnsi"/>
          <w:sz w:val="22"/>
          <w:szCs w:val="22"/>
          <w:lang w:val="en-GB"/>
        </w:rPr>
        <w:t xml:space="preserve"> did not properly inform consumers about the conditions and </w:t>
      </w:r>
      <w:r w:rsidR="00DA0FD0" w:rsidRPr="00B51F44">
        <w:rPr>
          <w:rFonts w:asciiTheme="minorHAnsi" w:hAnsiTheme="minorHAnsi" w:cstheme="minorHAnsi"/>
          <w:sz w:val="22"/>
          <w:szCs w:val="22"/>
          <w:lang w:val="en-GB"/>
        </w:rPr>
        <w:t>manner of exercising the</w:t>
      </w:r>
      <w:r w:rsidRPr="00B51F44">
        <w:rPr>
          <w:rFonts w:asciiTheme="minorHAnsi" w:hAnsiTheme="minorHAnsi" w:cstheme="minorHAnsi"/>
          <w:sz w:val="22"/>
          <w:szCs w:val="22"/>
          <w:lang w:val="en-GB"/>
        </w:rPr>
        <w:t xml:space="preserve"> rights from defective performance, i.e. the "complaint" of goods, and did no</w:t>
      </w:r>
      <w:r w:rsidR="00DA0FD0" w:rsidRPr="00B51F44">
        <w:rPr>
          <w:rFonts w:asciiTheme="minorHAnsi" w:hAnsiTheme="minorHAnsi" w:cstheme="minorHAnsi"/>
          <w:sz w:val="22"/>
          <w:szCs w:val="22"/>
          <w:lang w:val="en-GB"/>
        </w:rPr>
        <w:t>t issue proof of purchase based on</w:t>
      </w:r>
      <w:r w:rsidRPr="00B51F44">
        <w:rPr>
          <w:rFonts w:asciiTheme="minorHAnsi" w:hAnsiTheme="minorHAnsi" w:cstheme="minorHAnsi"/>
          <w:sz w:val="22"/>
          <w:szCs w:val="22"/>
          <w:lang w:val="en-GB"/>
        </w:rPr>
        <w:t xml:space="preserve"> consumer's request.</w:t>
      </w:r>
    </w:p>
    <w:p w14:paraId="7B661736" w14:textId="776F92AF" w:rsidR="002932B7" w:rsidRPr="00B51F44" w:rsidRDefault="00DA0FD0" w:rsidP="002932B7">
      <w:pPr>
        <w:spacing w:before="120" w:after="120" w:line="276" w:lineRule="auto"/>
        <w:jc w:val="both"/>
        <w:rPr>
          <w:rFonts w:asciiTheme="minorHAnsi" w:hAnsiTheme="minorHAnsi" w:cstheme="minorHAnsi"/>
          <w:sz w:val="22"/>
          <w:szCs w:val="22"/>
          <w:lang w:val="en-GB"/>
        </w:rPr>
      </w:pPr>
      <w:proofErr w:type="gramStart"/>
      <w:r w:rsidRPr="00B51F44">
        <w:rPr>
          <w:rFonts w:asciiTheme="minorHAnsi" w:hAnsiTheme="minorHAnsi" w:cstheme="minorHAnsi"/>
          <w:sz w:val="22"/>
          <w:szCs w:val="22"/>
          <w:lang w:val="en-GB"/>
        </w:rPr>
        <w:t xml:space="preserve">The fine of CZK 100,000 was finally imposed on Turbado.cz s.r.o. operating the website www.czechcom.cz, among other things, for not </w:t>
      </w:r>
      <w:r w:rsidR="00554704" w:rsidRPr="00B51F44">
        <w:rPr>
          <w:rFonts w:asciiTheme="minorHAnsi" w:hAnsiTheme="minorHAnsi" w:cstheme="minorHAnsi"/>
          <w:sz w:val="22"/>
          <w:szCs w:val="22"/>
          <w:lang w:val="en-GB"/>
        </w:rPr>
        <w:t xml:space="preserve">providing the essential information that a rental contract and not a purchase contract is automatically concluded  before the goods – an e-scooter for </w:t>
      </w:r>
      <w:r w:rsidR="00554704" w:rsidRPr="00B51F44">
        <w:rPr>
          <w:rFonts w:asciiTheme="minorHAnsi" w:hAnsiTheme="minorHAnsi" w:cstheme="minorHAnsi"/>
          <w:sz w:val="22"/>
          <w:szCs w:val="22"/>
          <w:lang w:val="en-GB"/>
        </w:rPr>
        <w:t xml:space="preserve">CZK 11,866 </w:t>
      </w:r>
      <w:r w:rsidR="00554704" w:rsidRPr="00B51F44">
        <w:rPr>
          <w:rFonts w:asciiTheme="minorHAnsi" w:hAnsiTheme="minorHAnsi" w:cstheme="minorHAnsi"/>
          <w:sz w:val="22"/>
          <w:szCs w:val="22"/>
          <w:lang w:val="en-GB"/>
        </w:rPr>
        <w:t xml:space="preserve"> – was put into</w:t>
      </w:r>
      <w:r w:rsidRPr="00B51F44">
        <w:rPr>
          <w:rFonts w:asciiTheme="minorHAnsi" w:hAnsiTheme="minorHAnsi" w:cstheme="minorHAnsi"/>
          <w:sz w:val="22"/>
          <w:szCs w:val="22"/>
          <w:lang w:val="en-GB"/>
        </w:rPr>
        <w:t xml:space="preserve"> the shopping cart and before filling in the contact details, that the use of the "Genius free" service offered by </w:t>
      </w:r>
      <w:r w:rsidR="00554704" w:rsidRPr="00B51F44">
        <w:rPr>
          <w:rFonts w:asciiTheme="minorHAnsi" w:hAnsiTheme="minorHAnsi" w:cstheme="minorHAnsi"/>
          <w:sz w:val="22"/>
          <w:szCs w:val="22"/>
          <w:lang w:val="en-GB"/>
        </w:rPr>
        <w:t>this company</w:t>
      </w:r>
      <w:r w:rsidRPr="00B51F44">
        <w:rPr>
          <w:rFonts w:asciiTheme="minorHAnsi" w:hAnsiTheme="minorHAnsi" w:cstheme="minorHAnsi"/>
          <w:sz w:val="22"/>
          <w:szCs w:val="22"/>
          <w:lang w:val="en-GB"/>
        </w:rPr>
        <w:t xml:space="preserve"> (warranty extension for 27 months), i.e. the consumer only rents the product but does not buy it.</w:t>
      </w:r>
      <w:proofErr w:type="gramEnd"/>
    </w:p>
    <w:p w14:paraId="59DA79C2" w14:textId="52683B0C" w:rsidR="00554704" w:rsidRPr="00B51F44" w:rsidRDefault="00554704" w:rsidP="00554704">
      <w:pPr>
        <w:spacing w:before="120" w:after="120" w:line="276" w:lineRule="auto"/>
        <w:jc w:val="both"/>
        <w:rPr>
          <w:rFonts w:asciiTheme="minorHAnsi" w:hAnsiTheme="minorHAnsi" w:cstheme="minorHAnsi"/>
          <w:sz w:val="22"/>
          <w:szCs w:val="22"/>
          <w:lang w:val="en-GB"/>
        </w:rPr>
      </w:pPr>
      <w:r w:rsidRPr="00B51F44">
        <w:rPr>
          <w:rFonts w:asciiTheme="minorHAnsi" w:hAnsiTheme="minorHAnsi" w:cstheme="minorHAnsi"/>
          <w:sz w:val="22"/>
          <w:szCs w:val="22"/>
          <w:lang w:val="en-GB"/>
        </w:rPr>
        <w:t xml:space="preserve">The same fine, i.e. CZK 100,000, which </w:t>
      </w:r>
      <w:r w:rsidR="009C0DAA" w:rsidRPr="00B51F44">
        <w:rPr>
          <w:rFonts w:asciiTheme="minorHAnsi" w:hAnsiTheme="minorHAnsi" w:cstheme="minorHAnsi"/>
          <w:sz w:val="22"/>
          <w:szCs w:val="22"/>
          <w:lang w:val="en-GB"/>
        </w:rPr>
        <w:t>came into force</w:t>
      </w:r>
      <w:r w:rsidRPr="00B51F44">
        <w:rPr>
          <w:rFonts w:asciiTheme="minorHAnsi" w:hAnsiTheme="minorHAnsi" w:cstheme="minorHAnsi"/>
          <w:sz w:val="22"/>
          <w:szCs w:val="22"/>
          <w:lang w:val="en-GB"/>
        </w:rPr>
        <w:t xml:space="preserve"> in 2020, </w:t>
      </w:r>
      <w:proofErr w:type="gramStart"/>
      <w:r w:rsidRPr="00B51F44">
        <w:rPr>
          <w:rFonts w:asciiTheme="minorHAnsi" w:hAnsiTheme="minorHAnsi" w:cstheme="minorHAnsi"/>
          <w:sz w:val="22"/>
          <w:szCs w:val="22"/>
          <w:lang w:val="en-GB"/>
        </w:rPr>
        <w:t>was imposed</w:t>
      </w:r>
      <w:proofErr w:type="gramEnd"/>
      <w:r w:rsidRPr="00B51F44">
        <w:rPr>
          <w:rFonts w:asciiTheme="minorHAnsi" w:hAnsiTheme="minorHAnsi" w:cstheme="minorHAnsi"/>
          <w:sz w:val="22"/>
          <w:szCs w:val="22"/>
          <w:lang w:val="en-GB"/>
        </w:rPr>
        <w:t xml:space="preserve"> for violations detected during inspections carried out already in 2019 to </w:t>
      </w:r>
      <w:r w:rsidR="009C0DAA" w:rsidRPr="00B51F44">
        <w:rPr>
          <w:rFonts w:asciiTheme="minorHAnsi" w:hAnsiTheme="minorHAnsi" w:cstheme="minorHAnsi"/>
          <w:sz w:val="22"/>
          <w:szCs w:val="22"/>
          <w:lang w:val="en-GB"/>
        </w:rPr>
        <w:t xml:space="preserve">the company </w:t>
      </w:r>
      <w:proofErr w:type="spellStart"/>
      <w:r w:rsidRPr="00B51F44">
        <w:rPr>
          <w:rFonts w:asciiTheme="minorHAnsi" w:hAnsiTheme="minorHAnsi" w:cstheme="minorHAnsi"/>
          <w:sz w:val="22"/>
          <w:szCs w:val="22"/>
          <w:lang w:val="en-GB"/>
        </w:rPr>
        <w:t>Youuu</w:t>
      </w:r>
      <w:proofErr w:type="spellEnd"/>
      <w:r w:rsidRPr="00B51F44">
        <w:rPr>
          <w:rFonts w:asciiTheme="minorHAnsi" w:hAnsiTheme="minorHAnsi" w:cstheme="minorHAnsi"/>
          <w:sz w:val="22"/>
          <w:szCs w:val="22"/>
          <w:lang w:val="en-GB"/>
        </w:rPr>
        <w:t xml:space="preserve"> s.r.o., which sold goods </w:t>
      </w:r>
      <w:r w:rsidR="009C0DAA" w:rsidRPr="00B51F44">
        <w:rPr>
          <w:rFonts w:asciiTheme="minorHAnsi" w:hAnsiTheme="minorHAnsi" w:cstheme="minorHAnsi"/>
          <w:sz w:val="22"/>
          <w:szCs w:val="22"/>
          <w:lang w:val="en-GB"/>
        </w:rPr>
        <w:t xml:space="preserve">in the www.rajpradla.cz e-shop. </w:t>
      </w:r>
      <w:proofErr w:type="gramStart"/>
      <w:r w:rsidR="009C0DAA" w:rsidRPr="00B51F44">
        <w:rPr>
          <w:rFonts w:asciiTheme="minorHAnsi" w:hAnsiTheme="minorHAnsi" w:cstheme="minorHAnsi"/>
          <w:sz w:val="22"/>
          <w:szCs w:val="22"/>
          <w:lang w:val="en-GB"/>
        </w:rPr>
        <w:t>They</w:t>
      </w:r>
      <w:r w:rsidRPr="00B51F44">
        <w:rPr>
          <w:rFonts w:asciiTheme="minorHAnsi" w:hAnsiTheme="minorHAnsi" w:cstheme="minorHAnsi"/>
          <w:sz w:val="22"/>
          <w:szCs w:val="22"/>
          <w:lang w:val="en-GB"/>
        </w:rPr>
        <w:t xml:space="preserve"> subsequently </w:t>
      </w:r>
      <w:r w:rsidR="009C0DAA" w:rsidRPr="00B51F44">
        <w:rPr>
          <w:rFonts w:asciiTheme="minorHAnsi" w:hAnsiTheme="minorHAnsi" w:cstheme="minorHAnsi"/>
          <w:sz w:val="22"/>
          <w:szCs w:val="22"/>
          <w:lang w:val="en-GB"/>
        </w:rPr>
        <w:t>breached</w:t>
      </w:r>
      <w:r w:rsidRPr="00B51F44">
        <w:rPr>
          <w:rFonts w:asciiTheme="minorHAnsi" w:hAnsiTheme="minorHAnsi" w:cstheme="minorHAnsi"/>
          <w:sz w:val="22"/>
          <w:szCs w:val="22"/>
          <w:lang w:val="en-GB"/>
        </w:rPr>
        <w:t xml:space="preserve"> law by repeatedly not communicating with the </w:t>
      </w:r>
      <w:r w:rsidR="009C0DAA" w:rsidRPr="00B51F44">
        <w:rPr>
          <w:rFonts w:asciiTheme="minorHAnsi" w:hAnsiTheme="minorHAnsi" w:cstheme="minorHAnsi"/>
          <w:sz w:val="22"/>
          <w:szCs w:val="22"/>
          <w:lang w:val="en-GB"/>
        </w:rPr>
        <w:t xml:space="preserve">body of </w:t>
      </w:r>
      <w:r w:rsidRPr="00B51F44">
        <w:rPr>
          <w:rFonts w:asciiTheme="minorHAnsi" w:hAnsiTheme="minorHAnsi" w:cstheme="minorHAnsi"/>
          <w:sz w:val="22"/>
          <w:szCs w:val="22"/>
          <w:lang w:val="en-GB"/>
        </w:rPr>
        <w:t xml:space="preserve">out-of-court </w:t>
      </w:r>
      <w:r w:rsidR="009C0DAA" w:rsidRPr="00B51F44">
        <w:rPr>
          <w:rFonts w:asciiTheme="minorHAnsi" w:hAnsiTheme="minorHAnsi" w:cstheme="minorHAnsi"/>
          <w:sz w:val="22"/>
          <w:szCs w:val="22"/>
          <w:lang w:val="en-GB"/>
        </w:rPr>
        <w:t xml:space="preserve">consumer disputes </w:t>
      </w:r>
      <w:r w:rsidR="009C0DAA" w:rsidRPr="00B51F44">
        <w:rPr>
          <w:rFonts w:asciiTheme="minorHAnsi" w:hAnsiTheme="minorHAnsi" w:cstheme="minorHAnsi"/>
          <w:sz w:val="22"/>
          <w:szCs w:val="22"/>
          <w:lang w:val="en-GB"/>
        </w:rPr>
        <w:t>resolution</w:t>
      </w:r>
      <w:r w:rsidRPr="00B51F44">
        <w:rPr>
          <w:rFonts w:asciiTheme="minorHAnsi" w:hAnsiTheme="minorHAnsi" w:cstheme="minorHAnsi"/>
          <w:sz w:val="22"/>
          <w:szCs w:val="22"/>
          <w:lang w:val="en-GB"/>
        </w:rPr>
        <w:t xml:space="preserve"> by the Czech Trade Inspection Authority (consumers repeatedly turned to </w:t>
      </w:r>
      <w:r w:rsidR="009C0DAA" w:rsidRPr="00B51F44">
        <w:rPr>
          <w:rFonts w:asciiTheme="minorHAnsi" w:hAnsiTheme="minorHAnsi" w:cstheme="minorHAnsi"/>
          <w:sz w:val="22"/>
          <w:szCs w:val="22"/>
          <w:lang w:val="en-GB"/>
        </w:rPr>
        <w:t xml:space="preserve">the </w:t>
      </w:r>
      <w:r w:rsidRPr="00B51F44">
        <w:rPr>
          <w:rFonts w:asciiTheme="minorHAnsi" w:hAnsiTheme="minorHAnsi" w:cstheme="minorHAnsi"/>
          <w:sz w:val="22"/>
          <w:szCs w:val="22"/>
          <w:lang w:val="en-GB"/>
        </w:rPr>
        <w:t xml:space="preserve">out-of-court dispute resolution </w:t>
      </w:r>
      <w:r w:rsidR="009C0DAA" w:rsidRPr="00B51F44">
        <w:rPr>
          <w:rFonts w:asciiTheme="minorHAnsi" w:hAnsiTheme="minorHAnsi" w:cstheme="minorHAnsi"/>
          <w:sz w:val="22"/>
          <w:szCs w:val="22"/>
          <w:lang w:val="en-GB"/>
        </w:rPr>
        <w:t xml:space="preserve">body after ordered and paid </w:t>
      </w:r>
      <w:r w:rsidRPr="00B51F44">
        <w:rPr>
          <w:rFonts w:asciiTheme="minorHAnsi" w:hAnsiTheme="minorHAnsi" w:cstheme="minorHAnsi"/>
          <w:sz w:val="22"/>
          <w:szCs w:val="22"/>
          <w:lang w:val="en-GB"/>
        </w:rPr>
        <w:t xml:space="preserve">goods </w:t>
      </w:r>
      <w:r w:rsidR="009C0DAA" w:rsidRPr="00B51F44">
        <w:rPr>
          <w:rFonts w:asciiTheme="minorHAnsi" w:hAnsiTheme="minorHAnsi" w:cstheme="minorHAnsi"/>
          <w:sz w:val="22"/>
          <w:szCs w:val="22"/>
          <w:lang w:val="en-GB"/>
        </w:rPr>
        <w:t>had not been</w:t>
      </w:r>
      <w:r w:rsidRPr="00B51F44">
        <w:rPr>
          <w:rFonts w:asciiTheme="minorHAnsi" w:hAnsiTheme="minorHAnsi" w:cstheme="minorHAnsi"/>
          <w:sz w:val="22"/>
          <w:szCs w:val="22"/>
          <w:lang w:val="en-GB"/>
        </w:rPr>
        <w:t xml:space="preserve"> delivered to them); although a refund was subsequently </w:t>
      </w:r>
      <w:r w:rsidR="009C0DAA" w:rsidRPr="00B51F44">
        <w:rPr>
          <w:rFonts w:asciiTheme="minorHAnsi" w:hAnsiTheme="minorHAnsi" w:cstheme="minorHAnsi"/>
          <w:sz w:val="22"/>
          <w:szCs w:val="22"/>
          <w:lang w:val="en-GB"/>
        </w:rPr>
        <w:t>promised by the company, it didn‘</w:t>
      </w:r>
      <w:r w:rsidRPr="00B51F44">
        <w:rPr>
          <w:rFonts w:asciiTheme="minorHAnsi" w:hAnsiTheme="minorHAnsi" w:cstheme="minorHAnsi"/>
          <w:sz w:val="22"/>
          <w:szCs w:val="22"/>
          <w:lang w:val="en-GB"/>
        </w:rPr>
        <w:t>t take place until the date of the</w:t>
      </w:r>
      <w:r w:rsidR="009C0DAA" w:rsidRPr="00B51F44">
        <w:rPr>
          <w:rFonts w:asciiTheme="minorHAnsi" w:hAnsiTheme="minorHAnsi" w:cstheme="minorHAnsi"/>
          <w:sz w:val="22"/>
          <w:szCs w:val="22"/>
          <w:lang w:val="en-GB"/>
        </w:rPr>
        <w:t xml:space="preserve"> consumer’s </w:t>
      </w:r>
      <w:r w:rsidRPr="00B51F44">
        <w:rPr>
          <w:rFonts w:asciiTheme="minorHAnsi" w:hAnsiTheme="minorHAnsi" w:cstheme="minorHAnsi"/>
          <w:sz w:val="22"/>
          <w:szCs w:val="22"/>
          <w:lang w:val="en-GB"/>
        </w:rPr>
        <w:t>initiat</w:t>
      </w:r>
      <w:r w:rsidR="009C0DAA" w:rsidRPr="00B51F44">
        <w:rPr>
          <w:rFonts w:asciiTheme="minorHAnsi" w:hAnsiTheme="minorHAnsi" w:cstheme="minorHAnsi"/>
          <w:sz w:val="22"/>
          <w:szCs w:val="22"/>
          <w:lang w:val="en-GB"/>
        </w:rPr>
        <w:t>ion</w:t>
      </w:r>
      <w:r w:rsidRPr="00B51F44">
        <w:rPr>
          <w:rFonts w:asciiTheme="minorHAnsi" w:hAnsiTheme="minorHAnsi" w:cstheme="minorHAnsi"/>
          <w:sz w:val="22"/>
          <w:szCs w:val="22"/>
          <w:lang w:val="en-GB"/>
        </w:rPr>
        <w:t xml:space="preserve"> </w:t>
      </w:r>
      <w:r w:rsidR="009C0DAA" w:rsidRPr="00B51F44">
        <w:rPr>
          <w:rFonts w:asciiTheme="minorHAnsi" w:hAnsiTheme="minorHAnsi" w:cstheme="minorHAnsi"/>
          <w:sz w:val="22"/>
          <w:szCs w:val="22"/>
          <w:lang w:val="en-GB"/>
        </w:rPr>
        <w:t>of the</w:t>
      </w:r>
      <w:r w:rsidRPr="00B51F44">
        <w:rPr>
          <w:rFonts w:asciiTheme="minorHAnsi" w:hAnsiTheme="minorHAnsi" w:cstheme="minorHAnsi"/>
          <w:sz w:val="22"/>
          <w:szCs w:val="22"/>
          <w:lang w:val="en-GB"/>
        </w:rPr>
        <w:t xml:space="preserve"> out-of-court </w:t>
      </w:r>
      <w:r w:rsidR="009C0DAA" w:rsidRPr="00B51F44">
        <w:rPr>
          <w:rFonts w:asciiTheme="minorHAnsi" w:hAnsiTheme="minorHAnsi" w:cstheme="minorHAnsi"/>
          <w:sz w:val="22"/>
          <w:szCs w:val="22"/>
          <w:lang w:val="en-GB"/>
        </w:rPr>
        <w:t>dispute resolution procedure</w:t>
      </w:r>
      <w:r w:rsidRPr="00B51F44">
        <w:rPr>
          <w:rFonts w:asciiTheme="minorHAnsi" w:hAnsiTheme="minorHAnsi" w:cstheme="minorHAnsi"/>
          <w:sz w:val="22"/>
          <w:szCs w:val="22"/>
          <w:lang w:val="en-GB"/>
        </w:rPr>
        <w:t>.</w:t>
      </w:r>
      <w:proofErr w:type="gramEnd"/>
      <w:r w:rsidRPr="00B51F44">
        <w:rPr>
          <w:rFonts w:asciiTheme="minorHAnsi" w:hAnsiTheme="minorHAnsi" w:cstheme="minorHAnsi"/>
          <w:sz w:val="22"/>
          <w:szCs w:val="22"/>
          <w:lang w:val="en-GB"/>
        </w:rPr>
        <w:t xml:space="preserve"> Furthermore, the company did not allow the consumer to place an order on its website</w:t>
      </w:r>
      <w:r w:rsidR="00B51F44" w:rsidRPr="00B51F44">
        <w:rPr>
          <w:rFonts w:asciiTheme="minorHAnsi" w:hAnsiTheme="minorHAnsi" w:cstheme="minorHAnsi"/>
          <w:sz w:val="22"/>
          <w:szCs w:val="22"/>
          <w:lang w:val="en-GB"/>
        </w:rPr>
        <w:t xml:space="preserve"> www.rajpradla.sk</w:t>
      </w:r>
      <w:r w:rsidRPr="00B51F44">
        <w:rPr>
          <w:rFonts w:asciiTheme="minorHAnsi" w:hAnsiTheme="minorHAnsi" w:cstheme="minorHAnsi"/>
          <w:sz w:val="22"/>
          <w:szCs w:val="22"/>
          <w:lang w:val="en-GB"/>
        </w:rPr>
        <w:t xml:space="preserve"> </w:t>
      </w:r>
      <w:r w:rsidR="00B51F44" w:rsidRPr="00B51F44">
        <w:rPr>
          <w:rFonts w:asciiTheme="minorHAnsi" w:hAnsiTheme="minorHAnsi" w:cstheme="minorHAnsi"/>
          <w:sz w:val="22"/>
          <w:szCs w:val="22"/>
          <w:lang w:val="en-GB"/>
        </w:rPr>
        <w:t>based on consumer’s place of residence</w:t>
      </w:r>
      <w:r w:rsidRPr="00B51F44">
        <w:rPr>
          <w:rFonts w:asciiTheme="minorHAnsi" w:hAnsiTheme="minorHAnsi" w:cstheme="minorHAnsi"/>
          <w:sz w:val="22"/>
          <w:szCs w:val="22"/>
          <w:lang w:val="en-GB"/>
        </w:rPr>
        <w:t>. This is geo</w:t>
      </w:r>
      <w:r w:rsidR="00B51F44">
        <w:rPr>
          <w:rFonts w:asciiTheme="minorHAnsi" w:hAnsiTheme="minorHAnsi" w:cstheme="minorHAnsi"/>
          <w:sz w:val="22"/>
          <w:szCs w:val="22"/>
          <w:lang w:val="en-GB"/>
        </w:rPr>
        <w:t>-</w:t>
      </w:r>
      <w:r w:rsidRPr="00B51F44">
        <w:rPr>
          <w:rFonts w:asciiTheme="minorHAnsi" w:hAnsiTheme="minorHAnsi" w:cstheme="minorHAnsi"/>
          <w:sz w:val="22"/>
          <w:szCs w:val="22"/>
          <w:lang w:val="en-GB"/>
        </w:rPr>
        <w:t>blocking (on July 4, 2019, the President signed an amendment to the Consumer Pro</w:t>
      </w:r>
      <w:r w:rsidR="00B51F44" w:rsidRPr="00B51F44">
        <w:rPr>
          <w:rFonts w:asciiTheme="minorHAnsi" w:hAnsiTheme="minorHAnsi" w:cstheme="minorHAnsi"/>
          <w:sz w:val="22"/>
          <w:szCs w:val="22"/>
          <w:lang w:val="en-GB"/>
        </w:rPr>
        <w:t>tection Act, which responds to the new European R</w:t>
      </w:r>
      <w:r w:rsidRPr="00B51F44">
        <w:rPr>
          <w:rFonts w:asciiTheme="minorHAnsi" w:hAnsiTheme="minorHAnsi" w:cstheme="minorHAnsi"/>
          <w:sz w:val="22"/>
          <w:szCs w:val="22"/>
          <w:lang w:val="en-GB"/>
        </w:rPr>
        <w:t xml:space="preserve">egulation </w:t>
      </w:r>
      <w:r w:rsidR="00B51F44" w:rsidRPr="00B51F44">
        <w:rPr>
          <w:rFonts w:asciiTheme="minorHAnsi" w:hAnsiTheme="minorHAnsi" w:cstheme="minorHAnsi"/>
          <w:sz w:val="22"/>
          <w:szCs w:val="22"/>
          <w:lang w:val="en-GB"/>
        </w:rPr>
        <w:t>prohibiting blocking purchases based on</w:t>
      </w:r>
      <w:r w:rsidRPr="00B51F44">
        <w:rPr>
          <w:rFonts w:asciiTheme="minorHAnsi" w:hAnsiTheme="minorHAnsi" w:cstheme="minorHAnsi"/>
          <w:sz w:val="22"/>
          <w:szCs w:val="22"/>
          <w:lang w:val="en-GB"/>
        </w:rPr>
        <w:t xml:space="preserve"> buyer's country. The government bill regulates the law to meet the requirements of </w:t>
      </w:r>
      <w:r w:rsidRPr="00B51F44">
        <w:rPr>
          <w:rFonts w:asciiTheme="minorHAnsi" w:hAnsiTheme="minorHAnsi" w:cstheme="minorHAnsi"/>
          <w:sz w:val="22"/>
          <w:szCs w:val="22"/>
          <w:lang w:val="en-GB"/>
        </w:rPr>
        <w:lastRenderedPageBreak/>
        <w:t xml:space="preserve">the EU regulation. It aims to ensure that consumers wishing to purchase goods and services in another EU country, whether online or in </w:t>
      </w:r>
      <w:proofErr w:type="gramStart"/>
      <w:r w:rsidRPr="00B51F44">
        <w:rPr>
          <w:rFonts w:asciiTheme="minorHAnsi" w:hAnsiTheme="minorHAnsi" w:cstheme="minorHAnsi"/>
          <w:sz w:val="22"/>
          <w:szCs w:val="22"/>
          <w:lang w:val="en-GB"/>
        </w:rPr>
        <w:t>person,</w:t>
      </w:r>
      <w:proofErr w:type="gramEnd"/>
      <w:r w:rsidRPr="00B51F44">
        <w:rPr>
          <w:rFonts w:asciiTheme="minorHAnsi" w:hAnsiTheme="minorHAnsi" w:cstheme="minorHAnsi"/>
          <w:sz w:val="22"/>
          <w:szCs w:val="22"/>
          <w:lang w:val="en-GB"/>
        </w:rPr>
        <w:t xml:space="preserve"> are not discriminated in terms of access to goods or services, price, conditions of sale or payment terms. Exceptions are cases where </w:t>
      </w:r>
      <w:r w:rsidR="00B51F44" w:rsidRPr="00B51F44">
        <w:rPr>
          <w:rFonts w:asciiTheme="minorHAnsi" w:hAnsiTheme="minorHAnsi" w:cstheme="minorHAnsi"/>
          <w:sz w:val="22"/>
          <w:szCs w:val="22"/>
          <w:lang w:val="en-GB"/>
        </w:rPr>
        <w:t xml:space="preserve">such conduct is </w:t>
      </w:r>
      <w:r w:rsidRPr="00B51F44">
        <w:rPr>
          <w:rFonts w:asciiTheme="minorHAnsi" w:hAnsiTheme="minorHAnsi" w:cstheme="minorHAnsi"/>
          <w:sz w:val="22"/>
          <w:szCs w:val="22"/>
          <w:lang w:val="en-GB"/>
        </w:rPr>
        <w:t xml:space="preserve">justified for reasons such as VAT or certain legislation </w:t>
      </w:r>
      <w:r w:rsidR="00B51F44" w:rsidRPr="00B51F44">
        <w:rPr>
          <w:rFonts w:asciiTheme="minorHAnsi" w:hAnsiTheme="minorHAnsi" w:cstheme="minorHAnsi"/>
          <w:sz w:val="22"/>
          <w:szCs w:val="22"/>
          <w:lang w:val="en-GB"/>
        </w:rPr>
        <w:t>on the</w:t>
      </w:r>
      <w:r w:rsidRPr="00B51F44">
        <w:rPr>
          <w:rFonts w:asciiTheme="minorHAnsi" w:hAnsiTheme="minorHAnsi" w:cstheme="minorHAnsi"/>
          <w:sz w:val="22"/>
          <w:szCs w:val="22"/>
          <w:lang w:val="en-GB"/>
        </w:rPr>
        <w:t xml:space="preserve"> protect</w:t>
      </w:r>
      <w:r w:rsidR="00B51F44" w:rsidRPr="00B51F44">
        <w:rPr>
          <w:rFonts w:asciiTheme="minorHAnsi" w:hAnsiTheme="minorHAnsi" w:cstheme="minorHAnsi"/>
          <w:sz w:val="22"/>
          <w:szCs w:val="22"/>
          <w:lang w:val="en-GB"/>
        </w:rPr>
        <w:t>ion of</w:t>
      </w:r>
      <w:r w:rsidRPr="00B51F44">
        <w:rPr>
          <w:rFonts w:asciiTheme="minorHAnsi" w:hAnsiTheme="minorHAnsi" w:cstheme="minorHAnsi"/>
          <w:sz w:val="22"/>
          <w:szCs w:val="22"/>
          <w:lang w:val="en-GB"/>
        </w:rPr>
        <w:t xml:space="preserve"> the public interest).</w:t>
      </w:r>
    </w:p>
    <w:p w14:paraId="2D7DE66A" w14:textId="77777777" w:rsidR="00554704" w:rsidRPr="00B51F44" w:rsidRDefault="00554704" w:rsidP="00554704">
      <w:pPr>
        <w:spacing w:before="120" w:after="120" w:line="276" w:lineRule="auto"/>
        <w:jc w:val="both"/>
        <w:rPr>
          <w:rFonts w:asciiTheme="minorHAnsi" w:hAnsiTheme="minorHAnsi" w:cstheme="minorHAnsi"/>
          <w:sz w:val="22"/>
          <w:szCs w:val="22"/>
          <w:lang w:val="en-GB"/>
        </w:rPr>
      </w:pPr>
    </w:p>
    <w:p w14:paraId="51FD294D" w14:textId="77777777" w:rsidR="00554704" w:rsidRPr="00B51F44" w:rsidRDefault="00554704" w:rsidP="00554704">
      <w:pPr>
        <w:spacing w:before="120" w:after="120" w:line="276" w:lineRule="auto"/>
        <w:jc w:val="both"/>
        <w:rPr>
          <w:rFonts w:asciiTheme="minorHAnsi" w:hAnsiTheme="minorHAnsi" w:cstheme="minorHAnsi"/>
          <w:b/>
          <w:sz w:val="22"/>
          <w:szCs w:val="22"/>
          <w:lang w:val="en-GB"/>
        </w:rPr>
      </w:pPr>
      <w:r w:rsidRPr="00B51F44">
        <w:rPr>
          <w:rFonts w:asciiTheme="minorHAnsi" w:hAnsiTheme="minorHAnsi" w:cstheme="minorHAnsi"/>
          <w:b/>
          <w:sz w:val="22"/>
          <w:szCs w:val="22"/>
          <w:lang w:val="en-GB"/>
        </w:rPr>
        <w:t>Risky websites</w:t>
      </w:r>
    </w:p>
    <w:p w14:paraId="78266309" w14:textId="77777777" w:rsidR="00554704" w:rsidRPr="00B51F44" w:rsidRDefault="00554704" w:rsidP="00554704">
      <w:pPr>
        <w:spacing w:before="120" w:after="120" w:line="276" w:lineRule="auto"/>
        <w:jc w:val="both"/>
        <w:rPr>
          <w:rFonts w:asciiTheme="minorHAnsi" w:hAnsiTheme="minorHAnsi" w:cstheme="minorHAnsi"/>
          <w:sz w:val="22"/>
          <w:szCs w:val="22"/>
          <w:lang w:val="en-GB"/>
        </w:rPr>
      </w:pPr>
      <w:r w:rsidRPr="00B51F44">
        <w:rPr>
          <w:rFonts w:asciiTheme="minorHAnsi" w:hAnsiTheme="minorHAnsi" w:cstheme="minorHAnsi"/>
          <w:sz w:val="22"/>
          <w:szCs w:val="22"/>
          <w:lang w:val="en-GB"/>
        </w:rPr>
        <w:t>In 2020, the Czech Trade Inspection Authority added one new website to the list of risky websites every day (</w:t>
      </w:r>
      <w:proofErr w:type="gramStart"/>
      <w:r w:rsidRPr="00B51F44">
        <w:rPr>
          <w:rFonts w:asciiTheme="minorHAnsi" w:hAnsiTheme="minorHAnsi" w:cstheme="minorHAnsi"/>
          <w:sz w:val="22"/>
          <w:szCs w:val="22"/>
          <w:lang w:val="en-GB"/>
        </w:rPr>
        <w:t>a total of 366</w:t>
      </w:r>
      <w:proofErr w:type="gramEnd"/>
      <w:r w:rsidRPr="00B51F44">
        <w:rPr>
          <w:rFonts w:asciiTheme="minorHAnsi" w:hAnsiTheme="minorHAnsi" w:cstheme="minorHAnsi"/>
          <w:sz w:val="22"/>
          <w:szCs w:val="22"/>
          <w:lang w:val="en-GB"/>
        </w:rPr>
        <w:t>), which it warns consumers about mainly due to non-compliance with certain legal obligations and difficult enforcement of consumer rights.</w:t>
      </w:r>
    </w:p>
    <w:p w14:paraId="54E7A6B7" w14:textId="6C05F68E" w:rsidR="001E742B" w:rsidRPr="00B51F44" w:rsidRDefault="00554704" w:rsidP="00554704">
      <w:pPr>
        <w:spacing w:before="120" w:after="120" w:line="276" w:lineRule="auto"/>
        <w:jc w:val="both"/>
        <w:rPr>
          <w:rFonts w:asciiTheme="minorHAnsi" w:hAnsiTheme="minorHAnsi" w:cstheme="minorHAnsi"/>
          <w:sz w:val="22"/>
          <w:szCs w:val="22"/>
          <w:lang w:val="en-GB"/>
        </w:rPr>
      </w:pPr>
      <w:r w:rsidRPr="00B51F44">
        <w:rPr>
          <w:rFonts w:asciiTheme="minorHAnsi" w:hAnsiTheme="minorHAnsi" w:cstheme="minorHAnsi"/>
          <w:sz w:val="22"/>
          <w:szCs w:val="22"/>
          <w:lang w:val="en-GB"/>
        </w:rPr>
        <w:t xml:space="preserve">More </w:t>
      </w:r>
      <w:r w:rsidR="009C0DAA" w:rsidRPr="00B51F44">
        <w:rPr>
          <w:rFonts w:asciiTheme="minorHAnsi" w:hAnsiTheme="minorHAnsi" w:cstheme="minorHAnsi"/>
          <w:sz w:val="22"/>
          <w:szCs w:val="22"/>
          <w:lang w:val="en-GB"/>
        </w:rPr>
        <w:t>on</w:t>
      </w:r>
      <w:r w:rsidRPr="00B51F44">
        <w:rPr>
          <w:rFonts w:asciiTheme="minorHAnsi" w:hAnsiTheme="minorHAnsi" w:cstheme="minorHAnsi"/>
          <w:sz w:val="22"/>
          <w:szCs w:val="22"/>
          <w:lang w:val="en-GB"/>
        </w:rPr>
        <w:t xml:space="preserve"> </w:t>
      </w:r>
      <w:hyperlink r:id="rId9" w:history="1">
        <w:r w:rsidRPr="00B51F44">
          <w:rPr>
            <w:rStyle w:val="Hypertextovodkaz"/>
            <w:rFonts w:asciiTheme="minorHAnsi" w:hAnsiTheme="minorHAnsi" w:cstheme="minorHAnsi"/>
            <w:sz w:val="22"/>
            <w:szCs w:val="22"/>
            <w:lang w:val="en-GB"/>
          </w:rPr>
          <w:t>www.rizikove.cz</w:t>
        </w:r>
      </w:hyperlink>
      <w:r w:rsidRPr="00B51F44">
        <w:rPr>
          <w:rFonts w:asciiTheme="minorHAnsi" w:hAnsiTheme="minorHAnsi" w:cstheme="minorHAnsi"/>
          <w:sz w:val="22"/>
          <w:szCs w:val="22"/>
          <w:lang w:val="en-GB"/>
        </w:rPr>
        <w:t xml:space="preserve"> </w:t>
      </w:r>
    </w:p>
    <w:sectPr w:rsidR="001E742B" w:rsidRPr="00B51F44" w:rsidSect="00362969">
      <w:footerReference w:type="default" r:id="rId10"/>
      <w:pgSz w:w="12240" w:h="15800"/>
      <w:pgMar w:top="1417" w:right="1417" w:bottom="1417" w:left="1417" w:header="113" w:footer="0" w:gutter="0"/>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04AE9" w16cex:dateUtc="2021-01-30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D3E6CA" w16cid:durableId="23C04A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623FD" w14:textId="77777777" w:rsidR="00464E7C" w:rsidRDefault="00464E7C" w:rsidP="00185D99">
      <w:r>
        <w:separator/>
      </w:r>
    </w:p>
  </w:endnote>
  <w:endnote w:type="continuationSeparator" w:id="0">
    <w:p w14:paraId="62D1EA57" w14:textId="77777777" w:rsidR="00464E7C" w:rsidRDefault="00464E7C" w:rsidP="0018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B0BF" w14:textId="278F4745" w:rsidR="00A16A5B" w:rsidRPr="00C25B28" w:rsidRDefault="00C25B28" w:rsidP="00C25B28">
    <w:pPr>
      <w:pStyle w:val="Zpat"/>
      <w:rPr>
        <w:lang w:val="en-GB"/>
      </w:rPr>
    </w:pPr>
    <w:r w:rsidRPr="006E4950">
      <w:rPr>
        <w:b/>
        <w:i/>
        <w:color w:val="808080"/>
        <w:sz w:val="18"/>
        <w:szCs w:val="18"/>
        <w:lang w:val="en-GB"/>
      </w:rPr>
      <w:t>Contact:</w:t>
    </w:r>
    <w:r>
      <w:rPr>
        <w:b/>
        <w:i/>
        <w:color w:val="808080"/>
        <w:sz w:val="18"/>
        <w:szCs w:val="18"/>
        <w:lang w:val="en-GB"/>
      </w:rPr>
      <w:t xml:space="preserve">       </w:t>
    </w:r>
    <w:r w:rsidRPr="00E87AFF">
      <w:rPr>
        <w:color w:val="808080"/>
        <w:sz w:val="18"/>
        <w:szCs w:val="18"/>
        <w:lang w:val="en-GB"/>
      </w:rPr>
      <w:t>Spokesperson of the CTIA</w:t>
    </w:r>
    <w:r w:rsidRPr="006E4950">
      <w:rPr>
        <w:color w:val="808080"/>
        <w:sz w:val="18"/>
        <w:szCs w:val="18"/>
        <w:lang w:val="en-GB"/>
      </w:rPr>
      <w:tab/>
      <w:t xml:space="preserve">                                                            </w:t>
    </w:r>
    <w:r w:rsidRPr="006E4950">
      <w:rPr>
        <w:b/>
        <w:i/>
        <w:color w:val="808080"/>
        <w:sz w:val="18"/>
        <w:szCs w:val="18"/>
        <w:lang w:val="en-GB"/>
      </w:rPr>
      <w:t>Phone:</w:t>
    </w:r>
    <w:r w:rsidRPr="006E4950">
      <w:rPr>
        <w:i/>
        <w:color w:val="808080"/>
        <w:sz w:val="18"/>
        <w:szCs w:val="18"/>
        <w:lang w:val="en-GB"/>
      </w:rPr>
      <w:tab/>
      <w:t xml:space="preserve">+420 296 366 233  </w:t>
    </w:r>
    <w:r w:rsidRPr="006E4950">
      <w:rPr>
        <w:color w:val="808080"/>
        <w:sz w:val="18"/>
        <w:szCs w:val="18"/>
        <w:lang w:val="en-GB"/>
      </w:rPr>
      <w:br/>
    </w:r>
    <w:r>
      <w:rPr>
        <w:color w:val="808080"/>
        <w:sz w:val="18"/>
        <w:szCs w:val="18"/>
        <w:lang w:val="en-GB"/>
      </w:rPr>
      <w:t xml:space="preserve">                       </w:t>
    </w:r>
    <w:r w:rsidRPr="006E4950">
      <w:rPr>
        <w:color w:val="808080"/>
        <w:sz w:val="18"/>
        <w:szCs w:val="18"/>
        <w:lang w:val="en-GB"/>
      </w:rPr>
      <w:t>Mgr. Jiří Fröhlich</w:t>
    </w:r>
    <w:r w:rsidRPr="006E4950">
      <w:rPr>
        <w:i/>
        <w:color w:val="808080"/>
        <w:sz w:val="18"/>
        <w:szCs w:val="18"/>
        <w:lang w:val="en-GB"/>
      </w:rPr>
      <w:tab/>
      <w:t xml:space="preserve">                                                            </w:t>
    </w:r>
    <w:r w:rsidRPr="006E4950">
      <w:rPr>
        <w:b/>
        <w:i/>
        <w:color w:val="808080"/>
        <w:sz w:val="18"/>
        <w:szCs w:val="18"/>
        <w:lang w:val="en-GB"/>
      </w:rPr>
      <w:t>Mobile:</w:t>
    </w:r>
    <w:r w:rsidRPr="006E4950">
      <w:rPr>
        <w:i/>
        <w:color w:val="808080"/>
        <w:sz w:val="18"/>
        <w:szCs w:val="18"/>
        <w:lang w:val="en-GB"/>
      </w:rPr>
      <w:t xml:space="preserve"> </w:t>
    </w:r>
    <w:r w:rsidRPr="006E4950">
      <w:rPr>
        <w:i/>
        <w:color w:val="808080"/>
        <w:sz w:val="18"/>
        <w:szCs w:val="18"/>
        <w:lang w:val="en-GB"/>
      </w:rPr>
      <w:tab/>
      <w:t>+420 602 105 376</w:t>
    </w:r>
    <w:r w:rsidRPr="006E4950">
      <w:rPr>
        <w:i/>
        <w:color w:val="808080"/>
        <w:sz w:val="18"/>
        <w:szCs w:val="18"/>
        <w:lang w:val="en-GB"/>
      </w:rPr>
      <w:br/>
    </w:r>
    <w:r w:rsidRPr="006E4950">
      <w:rPr>
        <w:i/>
        <w:color w:val="808080"/>
        <w:sz w:val="18"/>
        <w:szCs w:val="18"/>
        <w:lang w:val="en-GB"/>
      </w:rPr>
      <w:tab/>
      <w:t xml:space="preserve">                                                            </w:t>
    </w:r>
    <w:r w:rsidRPr="006E4950">
      <w:rPr>
        <w:b/>
        <w:i/>
        <w:color w:val="808080"/>
        <w:sz w:val="18"/>
        <w:szCs w:val="18"/>
        <w:lang w:val="en-GB"/>
      </w:rPr>
      <w:t>E-mail:</w:t>
    </w:r>
    <w:r w:rsidRPr="006E4950">
      <w:rPr>
        <w:i/>
        <w:color w:val="808080"/>
        <w:sz w:val="18"/>
        <w:szCs w:val="18"/>
        <w:lang w:val="en-GB"/>
      </w:rPr>
      <w:tab/>
      <w:t>mluvci@coi.cz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3AF65" w14:textId="77777777" w:rsidR="00464E7C" w:rsidRDefault="00464E7C" w:rsidP="00185D99">
      <w:r>
        <w:separator/>
      </w:r>
    </w:p>
  </w:footnote>
  <w:footnote w:type="continuationSeparator" w:id="0">
    <w:p w14:paraId="33006971" w14:textId="77777777" w:rsidR="00464E7C" w:rsidRDefault="00464E7C" w:rsidP="0018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A4E"/>
    <w:multiLevelType w:val="hybridMultilevel"/>
    <w:tmpl w:val="56546E02"/>
    <w:lvl w:ilvl="0" w:tplc="47063CE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B30630"/>
    <w:multiLevelType w:val="multilevel"/>
    <w:tmpl w:val="9E56D7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2C4E4C"/>
    <w:multiLevelType w:val="hybridMultilevel"/>
    <w:tmpl w:val="034A8C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5A69C9"/>
    <w:multiLevelType w:val="hybridMultilevel"/>
    <w:tmpl w:val="8C6C6C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9E401B7"/>
    <w:multiLevelType w:val="hybridMultilevel"/>
    <w:tmpl w:val="E21E1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EE6540"/>
    <w:multiLevelType w:val="hybridMultilevel"/>
    <w:tmpl w:val="48901C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0E3739"/>
    <w:multiLevelType w:val="hybridMultilevel"/>
    <w:tmpl w:val="638C7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ED3E89"/>
    <w:multiLevelType w:val="hybridMultilevel"/>
    <w:tmpl w:val="A80E8D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6A6CA0"/>
    <w:multiLevelType w:val="hybridMultilevel"/>
    <w:tmpl w:val="2B166E5C"/>
    <w:lvl w:ilvl="0" w:tplc="BFDCDC12">
      <w:numFmt w:val="bullet"/>
      <w:lvlText w:val="-"/>
      <w:lvlJc w:val="left"/>
      <w:pPr>
        <w:ind w:left="420" w:hanging="360"/>
      </w:pPr>
      <w:rPr>
        <w:rFonts w:ascii="Times New Roman" w:eastAsia="Times New Roman" w:hAnsi="Times New Roman" w:cs="Times New Roman" w:hint="default"/>
        <w:b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9" w15:restartNumberingAfterBreak="0">
    <w:nsid w:val="22931A01"/>
    <w:multiLevelType w:val="hybridMultilevel"/>
    <w:tmpl w:val="B4BE8C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29304DAB"/>
    <w:multiLevelType w:val="hybridMultilevel"/>
    <w:tmpl w:val="ACAA95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684A6E"/>
    <w:multiLevelType w:val="hybridMultilevel"/>
    <w:tmpl w:val="3128406C"/>
    <w:lvl w:ilvl="0" w:tplc="04050005">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DE56DF"/>
    <w:multiLevelType w:val="hybridMultilevel"/>
    <w:tmpl w:val="CB10E20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4A01105"/>
    <w:multiLevelType w:val="hybridMultilevel"/>
    <w:tmpl w:val="5296B4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B4E5CF9"/>
    <w:multiLevelType w:val="hybridMultilevel"/>
    <w:tmpl w:val="456804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B8649E"/>
    <w:multiLevelType w:val="hybridMultilevel"/>
    <w:tmpl w:val="9E56D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7E77F1"/>
    <w:multiLevelType w:val="hybridMultilevel"/>
    <w:tmpl w:val="59AED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703B91"/>
    <w:multiLevelType w:val="hybridMultilevel"/>
    <w:tmpl w:val="F6AE0D1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5010092"/>
    <w:multiLevelType w:val="hybridMultilevel"/>
    <w:tmpl w:val="AD644B26"/>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02459C"/>
    <w:multiLevelType w:val="hybridMultilevel"/>
    <w:tmpl w:val="BF26C2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064F24"/>
    <w:multiLevelType w:val="hybridMultilevel"/>
    <w:tmpl w:val="DD78E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955340"/>
    <w:multiLevelType w:val="hybridMultilevel"/>
    <w:tmpl w:val="893426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3FE6E50"/>
    <w:multiLevelType w:val="hybridMultilevel"/>
    <w:tmpl w:val="E80E1082"/>
    <w:lvl w:ilvl="0" w:tplc="6E0E86F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2A4B21"/>
    <w:multiLevelType w:val="hybridMultilevel"/>
    <w:tmpl w:val="EFC4CD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AD57626"/>
    <w:multiLevelType w:val="hybridMultilevel"/>
    <w:tmpl w:val="B1E412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C21CED"/>
    <w:multiLevelType w:val="hybridMultilevel"/>
    <w:tmpl w:val="E312DA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E680C7F"/>
    <w:multiLevelType w:val="hybridMultilevel"/>
    <w:tmpl w:val="4572A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04331A1"/>
    <w:multiLevelType w:val="hybridMultilevel"/>
    <w:tmpl w:val="40C406A4"/>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1D3794"/>
    <w:multiLevelType w:val="hybridMultilevel"/>
    <w:tmpl w:val="B0ECCF5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3994148"/>
    <w:multiLevelType w:val="hybridMultilevel"/>
    <w:tmpl w:val="585C26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47104F9"/>
    <w:multiLevelType w:val="hybridMultilevel"/>
    <w:tmpl w:val="C9F447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AB2A02"/>
    <w:multiLevelType w:val="hybridMultilevel"/>
    <w:tmpl w:val="95765C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6C27599"/>
    <w:multiLevelType w:val="hybridMultilevel"/>
    <w:tmpl w:val="E2A677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A8B345F"/>
    <w:multiLevelType w:val="hybridMultilevel"/>
    <w:tmpl w:val="C9869E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ABA3807"/>
    <w:multiLevelType w:val="hybridMultilevel"/>
    <w:tmpl w:val="43D25C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C442AE2"/>
    <w:multiLevelType w:val="hybridMultilevel"/>
    <w:tmpl w:val="A5AC5A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E4B09A8"/>
    <w:multiLevelType w:val="hybridMultilevel"/>
    <w:tmpl w:val="EC7E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AB2984"/>
    <w:multiLevelType w:val="hybridMultilevel"/>
    <w:tmpl w:val="EF8EB6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714956DD"/>
    <w:multiLevelType w:val="hybridMultilevel"/>
    <w:tmpl w:val="FF88C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1727321"/>
    <w:multiLevelType w:val="hybridMultilevel"/>
    <w:tmpl w:val="10AA8FC0"/>
    <w:lvl w:ilvl="0" w:tplc="8FCE5D5C">
      <w:numFmt w:val="bullet"/>
      <w:lvlText w:val="-"/>
      <w:lvlJc w:val="left"/>
      <w:pPr>
        <w:ind w:left="720" w:hanging="360"/>
      </w:pPr>
      <w:rPr>
        <w:rFonts w:ascii="Arial" w:eastAsia="Calibri"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2BE45A3"/>
    <w:multiLevelType w:val="hybridMultilevel"/>
    <w:tmpl w:val="972E5E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3270158"/>
    <w:multiLevelType w:val="hybridMultilevel"/>
    <w:tmpl w:val="57AE28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13"/>
  </w:num>
  <w:num w:numId="4">
    <w:abstractNumId w:val="30"/>
  </w:num>
  <w:num w:numId="5">
    <w:abstractNumId w:val="35"/>
  </w:num>
  <w:num w:numId="6">
    <w:abstractNumId w:val="3"/>
  </w:num>
  <w:num w:numId="7">
    <w:abstractNumId w:val="12"/>
  </w:num>
  <w:num w:numId="8">
    <w:abstractNumId w:val="10"/>
  </w:num>
  <w:num w:numId="9">
    <w:abstractNumId w:val="33"/>
  </w:num>
  <w:num w:numId="10">
    <w:abstractNumId w:val="2"/>
  </w:num>
  <w:num w:numId="11">
    <w:abstractNumId w:val="22"/>
  </w:num>
  <w:num w:numId="12">
    <w:abstractNumId w:val="8"/>
  </w:num>
  <w:num w:numId="13">
    <w:abstractNumId w:val="26"/>
  </w:num>
  <w:num w:numId="14">
    <w:abstractNumId w:val="16"/>
  </w:num>
  <w:num w:numId="15">
    <w:abstractNumId w:val="24"/>
  </w:num>
  <w:num w:numId="16">
    <w:abstractNumId w:val="17"/>
  </w:num>
  <w:num w:numId="17">
    <w:abstractNumId w:val="17"/>
  </w:num>
  <w:num w:numId="18">
    <w:abstractNumId w:val="6"/>
  </w:num>
  <w:num w:numId="19">
    <w:abstractNumId w:val="40"/>
  </w:num>
  <w:num w:numId="20">
    <w:abstractNumId w:val="25"/>
  </w:num>
  <w:num w:numId="21">
    <w:abstractNumId w:val="21"/>
  </w:num>
  <w:num w:numId="22">
    <w:abstractNumId w:val="29"/>
  </w:num>
  <w:num w:numId="23">
    <w:abstractNumId w:val="20"/>
  </w:num>
  <w:num w:numId="24">
    <w:abstractNumId w:val="15"/>
  </w:num>
  <w:num w:numId="25">
    <w:abstractNumId w:val="1"/>
  </w:num>
  <w:num w:numId="26">
    <w:abstractNumId w:val="9"/>
  </w:num>
  <w:num w:numId="27">
    <w:abstractNumId w:val="4"/>
  </w:num>
  <w:num w:numId="28">
    <w:abstractNumId w:val="36"/>
  </w:num>
  <w:num w:numId="29">
    <w:abstractNumId w:val="23"/>
  </w:num>
  <w:num w:numId="30">
    <w:abstractNumId w:val="14"/>
  </w:num>
  <w:num w:numId="31">
    <w:abstractNumId w:val="38"/>
  </w:num>
  <w:num w:numId="32">
    <w:abstractNumId w:val="18"/>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9"/>
  </w:num>
  <w:num w:numId="36">
    <w:abstractNumId w:val="37"/>
  </w:num>
  <w:num w:numId="37">
    <w:abstractNumId w:val="7"/>
  </w:num>
  <w:num w:numId="38">
    <w:abstractNumId w:val="0"/>
  </w:num>
  <w:num w:numId="39">
    <w:abstractNumId w:val="41"/>
  </w:num>
  <w:num w:numId="40">
    <w:abstractNumId w:val="28"/>
  </w:num>
  <w:num w:numId="41">
    <w:abstractNumId w:val="32"/>
  </w:num>
  <w:num w:numId="42">
    <w:abstractNumId w:val="5"/>
  </w:num>
  <w:num w:numId="43">
    <w:abstractNumId w:val="3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A"/>
    <w:rsid w:val="0000308A"/>
    <w:rsid w:val="0000384A"/>
    <w:rsid w:val="00004B17"/>
    <w:rsid w:val="00004CEF"/>
    <w:rsid w:val="00013A78"/>
    <w:rsid w:val="00017E33"/>
    <w:rsid w:val="00022166"/>
    <w:rsid w:val="000262D6"/>
    <w:rsid w:val="0002632F"/>
    <w:rsid w:val="00030E4E"/>
    <w:rsid w:val="00041212"/>
    <w:rsid w:val="00042816"/>
    <w:rsid w:val="00044892"/>
    <w:rsid w:val="00046A6B"/>
    <w:rsid w:val="00047CCA"/>
    <w:rsid w:val="00057C66"/>
    <w:rsid w:val="000601B9"/>
    <w:rsid w:val="00060D18"/>
    <w:rsid w:val="00063861"/>
    <w:rsid w:val="00073323"/>
    <w:rsid w:val="00090E58"/>
    <w:rsid w:val="000940BC"/>
    <w:rsid w:val="000A16E0"/>
    <w:rsid w:val="000B07D7"/>
    <w:rsid w:val="000B21A0"/>
    <w:rsid w:val="000B5C40"/>
    <w:rsid w:val="000B603C"/>
    <w:rsid w:val="000B6A90"/>
    <w:rsid w:val="000C63E8"/>
    <w:rsid w:val="000C6921"/>
    <w:rsid w:val="000C6A8B"/>
    <w:rsid w:val="000C706B"/>
    <w:rsid w:val="000D06D3"/>
    <w:rsid w:val="000D4265"/>
    <w:rsid w:val="000D7B47"/>
    <w:rsid w:val="000E12C9"/>
    <w:rsid w:val="000E3E07"/>
    <w:rsid w:val="000E41C7"/>
    <w:rsid w:val="000E6B22"/>
    <w:rsid w:val="000F16D1"/>
    <w:rsid w:val="000F28A8"/>
    <w:rsid w:val="000F2C0C"/>
    <w:rsid w:val="000F3BE8"/>
    <w:rsid w:val="000F52A6"/>
    <w:rsid w:val="00100B4B"/>
    <w:rsid w:val="0010412D"/>
    <w:rsid w:val="001053AB"/>
    <w:rsid w:val="001140DC"/>
    <w:rsid w:val="0012106E"/>
    <w:rsid w:val="001224BB"/>
    <w:rsid w:val="001242CC"/>
    <w:rsid w:val="001271AA"/>
    <w:rsid w:val="00127737"/>
    <w:rsid w:val="0013173D"/>
    <w:rsid w:val="00135A96"/>
    <w:rsid w:val="00136ECC"/>
    <w:rsid w:val="00137876"/>
    <w:rsid w:val="00144E53"/>
    <w:rsid w:val="00146CDB"/>
    <w:rsid w:val="0015090F"/>
    <w:rsid w:val="00153DBC"/>
    <w:rsid w:val="00160AE3"/>
    <w:rsid w:val="00162498"/>
    <w:rsid w:val="00165268"/>
    <w:rsid w:val="00167217"/>
    <w:rsid w:val="00167615"/>
    <w:rsid w:val="001676F1"/>
    <w:rsid w:val="0017592B"/>
    <w:rsid w:val="00175E7B"/>
    <w:rsid w:val="00181BEA"/>
    <w:rsid w:val="0018225C"/>
    <w:rsid w:val="001824BB"/>
    <w:rsid w:val="001824BC"/>
    <w:rsid w:val="00185919"/>
    <w:rsid w:val="00185D99"/>
    <w:rsid w:val="00197482"/>
    <w:rsid w:val="001A118F"/>
    <w:rsid w:val="001A39B1"/>
    <w:rsid w:val="001A5633"/>
    <w:rsid w:val="001A7E65"/>
    <w:rsid w:val="001B09D6"/>
    <w:rsid w:val="001B12FA"/>
    <w:rsid w:val="001B5F7D"/>
    <w:rsid w:val="001B7A7B"/>
    <w:rsid w:val="001C2FDA"/>
    <w:rsid w:val="001C5E83"/>
    <w:rsid w:val="001D1199"/>
    <w:rsid w:val="001D267F"/>
    <w:rsid w:val="001D2A21"/>
    <w:rsid w:val="001D414B"/>
    <w:rsid w:val="001E059D"/>
    <w:rsid w:val="001E228C"/>
    <w:rsid w:val="001E3459"/>
    <w:rsid w:val="001E43F2"/>
    <w:rsid w:val="001E563D"/>
    <w:rsid w:val="001E742B"/>
    <w:rsid w:val="001F1BC1"/>
    <w:rsid w:val="001F2255"/>
    <w:rsid w:val="001F28AD"/>
    <w:rsid w:val="001F59E2"/>
    <w:rsid w:val="001F6608"/>
    <w:rsid w:val="00204135"/>
    <w:rsid w:val="00205FD0"/>
    <w:rsid w:val="00206FBC"/>
    <w:rsid w:val="00210F85"/>
    <w:rsid w:val="00212094"/>
    <w:rsid w:val="00216362"/>
    <w:rsid w:val="00217F70"/>
    <w:rsid w:val="00221C3C"/>
    <w:rsid w:val="00223387"/>
    <w:rsid w:val="00227461"/>
    <w:rsid w:val="0024082F"/>
    <w:rsid w:val="002434A7"/>
    <w:rsid w:val="00244A3B"/>
    <w:rsid w:val="00246218"/>
    <w:rsid w:val="002516E7"/>
    <w:rsid w:val="00256358"/>
    <w:rsid w:val="00261259"/>
    <w:rsid w:val="00275730"/>
    <w:rsid w:val="00277452"/>
    <w:rsid w:val="00277C2B"/>
    <w:rsid w:val="00277DEC"/>
    <w:rsid w:val="002932B7"/>
    <w:rsid w:val="00293D34"/>
    <w:rsid w:val="00294CF5"/>
    <w:rsid w:val="00295D58"/>
    <w:rsid w:val="002A21C3"/>
    <w:rsid w:val="002A4DAE"/>
    <w:rsid w:val="002C2A53"/>
    <w:rsid w:val="002C35EB"/>
    <w:rsid w:val="002C466F"/>
    <w:rsid w:val="002D029E"/>
    <w:rsid w:val="002D1BB4"/>
    <w:rsid w:val="002D2CC1"/>
    <w:rsid w:val="002D7F03"/>
    <w:rsid w:val="002D7FF7"/>
    <w:rsid w:val="002E6676"/>
    <w:rsid w:val="002F2629"/>
    <w:rsid w:val="002F75FB"/>
    <w:rsid w:val="00302618"/>
    <w:rsid w:val="00307823"/>
    <w:rsid w:val="00315E92"/>
    <w:rsid w:val="0031699D"/>
    <w:rsid w:val="00324454"/>
    <w:rsid w:val="00325286"/>
    <w:rsid w:val="00337EC4"/>
    <w:rsid w:val="00340236"/>
    <w:rsid w:val="00343E6B"/>
    <w:rsid w:val="00351CBE"/>
    <w:rsid w:val="00351CCB"/>
    <w:rsid w:val="00362468"/>
    <w:rsid w:val="00362969"/>
    <w:rsid w:val="00365384"/>
    <w:rsid w:val="0036680B"/>
    <w:rsid w:val="003711F3"/>
    <w:rsid w:val="0037275B"/>
    <w:rsid w:val="0037681A"/>
    <w:rsid w:val="00380156"/>
    <w:rsid w:val="00380FEC"/>
    <w:rsid w:val="0038428B"/>
    <w:rsid w:val="003849B0"/>
    <w:rsid w:val="00394AF4"/>
    <w:rsid w:val="00395172"/>
    <w:rsid w:val="0039799B"/>
    <w:rsid w:val="003A0B28"/>
    <w:rsid w:val="003A0EED"/>
    <w:rsid w:val="003A5569"/>
    <w:rsid w:val="003A62C1"/>
    <w:rsid w:val="003A65B6"/>
    <w:rsid w:val="003A6A82"/>
    <w:rsid w:val="003B0C51"/>
    <w:rsid w:val="003B70AE"/>
    <w:rsid w:val="003C5A15"/>
    <w:rsid w:val="003D112A"/>
    <w:rsid w:val="003D11C2"/>
    <w:rsid w:val="003E4219"/>
    <w:rsid w:val="003E42B4"/>
    <w:rsid w:val="003E5D42"/>
    <w:rsid w:val="003E7340"/>
    <w:rsid w:val="003F1772"/>
    <w:rsid w:val="00402C0D"/>
    <w:rsid w:val="00405F7B"/>
    <w:rsid w:val="00406EF9"/>
    <w:rsid w:val="004142A3"/>
    <w:rsid w:val="0041577F"/>
    <w:rsid w:val="00420085"/>
    <w:rsid w:val="00420338"/>
    <w:rsid w:val="004241E6"/>
    <w:rsid w:val="00425B5C"/>
    <w:rsid w:val="00425E2A"/>
    <w:rsid w:val="004307D5"/>
    <w:rsid w:val="0043112A"/>
    <w:rsid w:val="00442AF8"/>
    <w:rsid w:val="0044362B"/>
    <w:rsid w:val="00444E25"/>
    <w:rsid w:val="00445103"/>
    <w:rsid w:val="004471FF"/>
    <w:rsid w:val="00452377"/>
    <w:rsid w:val="00453410"/>
    <w:rsid w:val="00454184"/>
    <w:rsid w:val="00464E7C"/>
    <w:rsid w:val="00465192"/>
    <w:rsid w:val="0046567B"/>
    <w:rsid w:val="00470B38"/>
    <w:rsid w:val="004723EA"/>
    <w:rsid w:val="00474959"/>
    <w:rsid w:val="00484646"/>
    <w:rsid w:val="00486448"/>
    <w:rsid w:val="004868C8"/>
    <w:rsid w:val="00487552"/>
    <w:rsid w:val="00490CDD"/>
    <w:rsid w:val="00491FDF"/>
    <w:rsid w:val="0049570F"/>
    <w:rsid w:val="004969C5"/>
    <w:rsid w:val="00496B0F"/>
    <w:rsid w:val="004A27F4"/>
    <w:rsid w:val="004A6CB6"/>
    <w:rsid w:val="004B3257"/>
    <w:rsid w:val="004B6AF5"/>
    <w:rsid w:val="004B7257"/>
    <w:rsid w:val="004C0728"/>
    <w:rsid w:val="004D2C95"/>
    <w:rsid w:val="004D305D"/>
    <w:rsid w:val="004D49B1"/>
    <w:rsid w:val="004D5F51"/>
    <w:rsid w:val="004E0267"/>
    <w:rsid w:val="004E047A"/>
    <w:rsid w:val="004E1903"/>
    <w:rsid w:val="004E61C9"/>
    <w:rsid w:val="004E6913"/>
    <w:rsid w:val="004F1F51"/>
    <w:rsid w:val="004F2F98"/>
    <w:rsid w:val="004F338F"/>
    <w:rsid w:val="004F6CB3"/>
    <w:rsid w:val="00500DE9"/>
    <w:rsid w:val="00506BED"/>
    <w:rsid w:val="00515929"/>
    <w:rsid w:val="00522BC6"/>
    <w:rsid w:val="00523B5D"/>
    <w:rsid w:val="00527275"/>
    <w:rsid w:val="00530640"/>
    <w:rsid w:val="00530ADD"/>
    <w:rsid w:val="00530F81"/>
    <w:rsid w:val="00536212"/>
    <w:rsid w:val="00537466"/>
    <w:rsid w:val="00537AF9"/>
    <w:rsid w:val="00540AE1"/>
    <w:rsid w:val="00545F6A"/>
    <w:rsid w:val="005476A6"/>
    <w:rsid w:val="005517AE"/>
    <w:rsid w:val="0055231A"/>
    <w:rsid w:val="00554704"/>
    <w:rsid w:val="00556CCE"/>
    <w:rsid w:val="0055729D"/>
    <w:rsid w:val="0055744D"/>
    <w:rsid w:val="00561DF8"/>
    <w:rsid w:val="00577E46"/>
    <w:rsid w:val="005858BD"/>
    <w:rsid w:val="00592F6D"/>
    <w:rsid w:val="00594135"/>
    <w:rsid w:val="00594DBD"/>
    <w:rsid w:val="0059560F"/>
    <w:rsid w:val="005A1C34"/>
    <w:rsid w:val="005A44EE"/>
    <w:rsid w:val="005A7C75"/>
    <w:rsid w:val="005A7E24"/>
    <w:rsid w:val="005B09A2"/>
    <w:rsid w:val="005B23B0"/>
    <w:rsid w:val="005C4E4A"/>
    <w:rsid w:val="005D2077"/>
    <w:rsid w:val="005D3CE9"/>
    <w:rsid w:val="005D3D4C"/>
    <w:rsid w:val="005E2011"/>
    <w:rsid w:val="005E476D"/>
    <w:rsid w:val="005E47C3"/>
    <w:rsid w:val="005E5DFA"/>
    <w:rsid w:val="005E6600"/>
    <w:rsid w:val="005E734E"/>
    <w:rsid w:val="005F2259"/>
    <w:rsid w:val="005F2D15"/>
    <w:rsid w:val="005F4EE6"/>
    <w:rsid w:val="005F5656"/>
    <w:rsid w:val="00600984"/>
    <w:rsid w:val="00600EDE"/>
    <w:rsid w:val="00602C53"/>
    <w:rsid w:val="006070DF"/>
    <w:rsid w:val="00622D3B"/>
    <w:rsid w:val="0062430A"/>
    <w:rsid w:val="00624694"/>
    <w:rsid w:val="00636D2B"/>
    <w:rsid w:val="00640081"/>
    <w:rsid w:val="00641289"/>
    <w:rsid w:val="00643474"/>
    <w:rsid w:val="00644E3B"/>
    <w:rsid w:val="006502BB"/>
    <w:rsid w:val="00663EB5"/>
    <w:rsid w:val="00676F1E"/>
    <w:rsid w:val="0068090B"/>
    <w:rsid w:val="006833D8"/>
    <w:rsid w:val="006841CB"/>
    <w:rsid w:val="00685A7F"/>
    <w:rsid w:val="00687D59"/>
    <w:rsid w:val="00691EDB"/>
    <w:rsid w:val="006A32C9"/>
    <w:rsid w:val="006A4513"/>
    <w:rsid w:val="006A7DFE"/>
    <w:rsid w:val="006B425B"/>
    <w:rsid w:val="006C6282"/>
    <w:rsid w:val="006D1DAF"/>
    <w:rsid w:val="006D36CD"/>
    <w:rsid w:val="006D4638"/>
    <w:rsid w:val="006D5767"/>
    <w:rsid w:val="006D755B"/>
    <w:rsid w:val="006D7957"/>
    <w:rsid w:val="006E0909"/>
    <w:rsid w:val="006E5AE2"/>
    <w:rsid w:val="006E5F42"/>
    <w:rsid w:val="006F30DF"/>
    <w:rsid w:val="006F31D0"/>
    <w:rsid w:val="006F366E"/>
    <w:rsid w:val="00704CB3"/>
    <w:rsid w:val="00706C8F"/>
    <w:rsid w:val="007079EA"/>
    <w:rsid w:val="00715CAB"/>
    <w:rsid w:val="00721170"/>
    <w:rsid w:val="00721770"/>
    <w:rsid w:val="00723C2D"/>
    <w:rsid w:val="0072480B"/>
    <w:rsid w:val="007248D6"/>
    <w:rsid w:val="00726157"/>
    <w:rsid w:val="00732A0D"/>
    <w:rsid w:val="007331D2"/>
    <w:rsid w:val="00740161"/>
    <w:rsid w:val="00741FC4"/>
    <w:rsid w:val="00750671"/>
    <w:rsid w:val="0076153E"/>
    <w:rsid w:val="007707EB"/>
    <w:rsid w:val="007778F1"/>
    <w:rsid w:val="007817AA"/>
    <w:rsid w:val="007A0E66"/>
    <w:rsid w:val="007A79BE"/>
    <w:rsid w:val="007B3F38"/>
    <w:rsid w:val="007C1891"/>
    <w:rsid w:val="007C22F5"/>
    <w:rsid w:val="007D13AB"/>
    <w:rsid w:val="007D1874"/>
    <w:rsid w:val="007D59C4"/>
    <w:rsid w:val="007E0B7D"/>
    <w:rsid w:val="007F0252"/>
    <w:rsid w:val="007F248D"/>
    <w:rsid w:val="007F479B"/>
    <w:rsid w:val="007F568C"/>
    <w:rsid w:val="007F62FC"/>
    <w:rsid w:val="007F6453"/>
    <w:rsid w:val="007F6C55"/>
    <w:rsid w:val="0080065C"/>
    <w:rsid w:val="008015A6"/>
    <w:rsid w:val="00801F8D"/>
    <w:rsid w:val="008049ED"/>
    <w:rsid w:val="008072AB"/>
    <w:rsid w:val="00811F54"/>
    <w:rsid w:val="00813930"/>
    <w:rsid w:val="00816630"/>
    <w:rsid w:val="00816D54"/>
    <w:rsid w:val="00830D1B"/>
    <w:rsid w:val="008440B8"/>
    <w:rsid w:val="00854465"/>
    <w:rsid w:val="008604D6"/>
    <w:rsid w:val="00861EB7"/>
    <w:rsid w:val="00863301"/>
    <w:rsid w:val="0086560F"/>
    <w:rsid w:val="00865B7B"/>
    <w:rsid w:val="00867FD2"/>
    <w:rsid w:val="008744A8"/>
    <w:rsid w:val="008752C6"/>
    <w:rsid w:val="00877FEA"/>
    <w:rsid w:val="008823B4"/>
    <w:rsid w:val="0088321E"/>
    <w:rsid w:val="00884C64"/>
    <w:rsid w:val="00895F4C"/>
    <w:rsid w:val="008A2994"/>
    <w:rsid w:val="008A5E2B"/>
    <w:rsid w:val="008B5D1E"/>
    <w:rsid w:val="008C7414"/>
    <w:rsid w:val="008C7E0C"/>
    <w:rsid w:val="008D09CD"/>
    <w:rsid w:val="008E5905"/>
    <w:rsid w:val="008E698E"/>
    <w:rsid w:val="008F3354"/>
    <w:rsid w:val="008F4B9F"/>
    <w:rsid w:val="008F60EE"/>
    <w:rsid w:val="008F7988"/>
    <w:rsid w:val="00901553"/>
    <w:rsid w:val="009039CA"/>
    <w:rsid w:val="00903ED7"/>
    <w:rsid w:val="00904EDB"/>
    <w:rsid w:val="009072AF"/>
    <w:rsid w:val="00914E47"/>
    <w:rsid w:val="00915AFA"/>
    <w:rsid w:val="00920A06"/>
    <w:rsid w:val="009267F9"/>
    <w:rsid w:val="00926A50"/>
    <w:rsid w:val="00932782"/>
    <w:rsid w:val="0093311E"/>
    <w:rsid w:val="009442A7"/>
    <w:rsid w:val="00945127"/>
    <w:rsid w:val="009471AB"/>
    <w:rsid w:val="00954744"/>
    <w:rsid w:val="00957646"/>
    <w:rsid w:val="00957D14"/>
    <w:rsid w:val="00961037"/>
    <w:rsid w:val="00971E23"/>
    <w:rsid w:val="00971EDD"/>
    <w:rsid w:val="00973F3C"/>
    <w:rsid w:val="00975876"/>
    <w:rsid w:val="00976B9C"/>
    <w:rsid w:val="00976E86"/>
    <w:rsid w:val="009817DB"/>
    <w:rsid w:val="00986725"/>
    <w:rsid w:val="009874A7"/>
    <w:rsid w:val="009874D6"/>
    <w:rsid w:val="0099145D"/>
    <w:rsid w:val="00991D40"/>
    <w:rsid w:val="009A0587"/>
    <w:rsid w:val="009A453C"/>
    <w:rsid w:val="009B7F95"/>
    <w:rsid w:val="009C0DAA"/>
    <w:rsid w:val="009C5D60"/>
    <w:rsid w:val="009C6FB8"/>
    <w:rsid w:val="009D034B"/>
    <w:rsid w:val="009D2CAA"/>
    <w:rsid w:val="009D58CB"/>
    <w:rsid w:val="009E1306"/>
    <w:rsid w:val="009E1B34"/>
    <w:rsid w:val="009E50DE"/>
    <w:rsid w:val="009E6D50"/>
    <w:rsid w:val="009F0AFD"/>
    <w:rsid w:val="009F0DE7"/>
    <w:rsid w:val="009F1BC3"/>
    <w:rsid w:val="009F5F3C"/>
    <w:rsid w:val="009F6DA3"/>
    <w:rsid w:val="00A0238D"/>
    <w:rsid w:val="00A035F5"/>
    <w:rsid w:val="00A06731"/>
    <w:rsid w:val="00A07415"/>
    <w:rsid w:val="00A13CC5"/>
    <w:rsid w:val="00A15829"/>
    <w:rsid w:val="00A16A5B"/>
    <w:rsid w:val="00A17960"/>
    <w:rsid w:val="00A208FD"/>
    <w:rsid w:val="00A226B1"/>
    <w:rsid w:val="00A27E5A"/>
    <w:rsid w:val="00A30919"/>
    <w:rsid w:val="00A44F67"/>
    <w:rsid w:val="00A47238"/>
    <w:rsid w:val="00A502CE"/>
    <w:rsid w:val="00A53282"/>
    <w:rsid w:val="00A5391A"/>
    <w:rsid w:val="00A549AD"/>
    <w:rsid w:val="00A56399"/>
    <w:rsid w:val="00A565D6"/>
    <w:rsid w:val="00A61E58"/>
    <w:rsid w:val="00A65320"/>
    <w:rsid w:val="00A80D87"/>
    <w:rsid w:val="00A8244B"/>
    <w:rsid w:val="00A82BF6"/>
    <w:rsid w:val="00A8385B"/>
    <w:rsid w:val="00A904DB"/>
    <w:rsid w:val="00A90B65"/>
    <w:rsid w:val="00A92AD1"/>
    <w:rsid w:val="00A94FD3"/>
    <w:rsid w:val="00AA53E1"/>
    <w:rsid w:val="00AA70F3"/>
    <w:rsid w:val="00AA7C61"/>
    <w:rsid w:val="00AB059B"/>
    <w:rsid w:val="00AB2A24"/>
    <w:rsid w:val="00AB3651"/>
    <w:rsid w:val="00AB712F"/>
    <w:rsid w:val="00AB7968"/>
    <w:rsid w:val="00AC5225"/>
    <w:rsid w:val="00AC5932"/>
    <w:rsid w:val="00AC6C7C"/>
    <w:rsid w:val="00AD019C"/>
    <w:rsid w:val="00AD07A1"/>
    <w:rsid w:val="00AD0E0E"/>
    <w:rsid w:val="00AD1777"/>
    <w:rsid w:val="00AD4CF8"/>
    <w:rsid w:val="00AD5551"/>
    <w:rsid w:val="00AD745A"/>
    <w:rsid w:val="00AE457C"/>
    <w:rsid w:val="00AE5078"/>
    <w:rsid w:val="00AE7D98"/>
    <w:rsid w:val="00AF2C1B"/>
    <w:rsid w:val="00AF3AD6"/>
    <w:rsid w:val="00AF45E6"/>
    <w:rsid w:val="00AF62AF"/>
    <w:rsid w:val="00AF67AC"/>
    <w:rsid w:val="00B03878"/>
    <w:rsid w:val="00B07AF9"/>
    <w:rsid w:val="00B10360"/>
    <w:rsid w:val="00B14015"/>
    <w:rsid w:val="00B156DC"/>
    <w:rsid w:val="00B16AC2"/>
    <w:rsid w:val="00B17737"/>
    <w:rsid w:val="00B22980"/>
    <w:rsid w:val="00B235FE"/>
    <w:rsid w:val="00B33ECB"/>
    <w:rsid w:val="00B44811"/>
    <w:rsid w:val="00B45FCA"/>
    <w:rsid w:val="00B51F44"/>
    <w:rsid w:val="00B5732B"/>
    <w:rsid w:val="00B6437A"/>
    <w:rsid w:val="00B646D3"/>
    <w:rsid w:val="00B67456"/>
    <w:rsid w:val="00B7138D"/>
    <w:rsid w:val="00B73F9D"/>
    <w:rsid w:val="00B751D9"/>
    <w:rsid w:val="00B76299"/>
    <w:rsid w:val="00B767AA"/>
    <w:rsid w:val="00B81A04"/>
    <w:rsid w:val="00B832E9"/>
    <w:rsid w:val="00B84D0C"/>
    <w:rsid w:val="00B86329"/>
    <w:rsid w:val="00B871DC"/>
    <w:rsid w:val="00B90207"/>
    <w:rsid w:val="00B90E1E"/>
    <w:rsid w:val="00B92B1C"/>
    <w:rsid w:val="00B95F00"/>
    <w:rsid w:val="00BA5606"/>
    <w:rsid w:val="00BA5A80"/>
    <w:rsid w:val="00BB72FF"/>
    <w:rsid w:val="00BC52BB"/>
    <w:rsid w:val="00BC543E"/>
    <w:rsid w:val="00BC5961"/>
    <w:rsid w:val="00BC6C4D"/>
    <w:rsid w:val="00BC7086"/>
    <w:rsid w:val="00BD2D29"/>
    <w:rsid w:val="00BD5024"/>
    <w:rsid w:val="00BD5403"/>
    <w:rsid w:val="00BD5B5C"/>
    <w:rsid w:val="00BE7632"/>
    <w:rsid w:val="00BF10D6"/>
    <w:rsid w:val="00BF2904"/>
    <w:rsid w:val="00BF3384"/>
    <w:rsid w:val="00C0777A"/>
    <w:rsid w:val="00C11AA1"/>
    <w:rsid w:val="00C1245E"/>
    <w:rsid w:val="00C15F33"/>
    <w:rsid w:val="00C25B28"/>
    <w:rsid w:val="00C2604F"/>
    <w:rsid w:val="00C30BD5"/>
    <w:rsid w:val="00C343D2"/>
    <w:rsid w:val="00C37123"/>
    <w:rsid w:val="00C42D4C"/>
    <w:rsid w:val="00C53EDB"/>
    <w:rsid w:val="00C54DF4"/>
    <w:rsid w:val="00C54FEF"/>
    <w:rsid w:val="00C57E36"/>
    <w:rsid w:val="00C6042A"/>
    <w:rsid w:val="00C61364"/>
    <w:rsid w:val="00C61D98"/>
    <w:rsid w:val="00C63A6B"/>
    <w:rsid w:val="00C66F99"/>
    <w:rsid w:val="00C771F7"/>
    <w:rsid w:val="00C80179"/>
    <w:rsid w:val="00C81C10"/>
    <w:rsid w:val="00C82977"/>
    <w:rsid w:val="00C83E33"/>
    <w:rsid w:val="00C86024"/>
    <w:rsid w:val="00C86556"/>
    <w:rsid w:val="00C87D1C"/>
    <w:rsid w:val="00C91293"/>
    <w:rsid w:val="00C9230E"/>
    <w:rsid w:val="00C96268"/>
    <w:rsid w:val="00CA02DD"/>
    <w:rsid w:val="00CA17D9"/>
    <w:rsid w:val="00CA3299"/>
    <w:rsid w:val="00CA69A0"/>
    <w:rsid w:val="00CA7AC3"/>
    <w:rsid w:val="00CB700D"/>
    <w:rsid w:val="00CC376C"/>
    <w:rsid w:val="00CC7478"/>
    <w:rsid w:val="00CD575F"/>
    <w:rsid w:val="00CD675A"/>
    <w:rsid w:val="00CE0241"/>
    <w:rsid w:val="00CE4F67"/>
    <w:rsid w:val="00CE52E2"/>
    <w:rsid w:val="00CE5310"/>
    <w:rsid w:val="00CE6715"/>
    <w:rsid w:val="00CE75DA"/>
    <w:rsid w:val="00CF0B8A"/>
    <w:rsid w:val="00CF39F5"/>
    <w:rsid w:val="00CF6448"/>
    <w:rsid w:val="00CF73DF"/>
    <w:rsid w:val="00D016A4"/>
    <w:rsid w:val="00D02517"/>
    <w:rsid w:val="00D02F16"/>
    <w:rsid w:val="00D04AE8"/>
    <w:rsid w:val="00D068DA"/>
    <w:rsid w:val="00D10CF3"/>
    <w:rsid w:val="00D1125A"/>
    <w:rsid w:val="00D123EF"/>
    <w:rsid w:val="00D15FF6"/>
    <w:rsid w:val="00D22BA6"/>
    <w:rsid w:val="00D32AE9"/>
    <w:rsid w:val="00D34CF3"/>
    <w:rsid w:val="00D36978"/>
    <w:rsid w:val="00D52E04"/>
    <w:rsid w:val="00D7144E"/>
    <w:rsid w:val="00D7221A"/>
    <w:rsid w:val="00D73A91"/>
    <w:rsid w:val="00D74EB9"/>
    <w:rsid w:val="00D75CBD"/>
    <w:rsid w:val="00D75DD4"/>
    <w:rsid w:val="00D75E75"/>
    <w:rsid w:val="00D77104"/>
    <w:rsid w:val="00D80571"/>
    <w:rsid w:val="00D90B67"/>
    <w:rsid w:val="00D9208B"/>
    <w:rsid w:val="00D94DAB"/>
    <w:rsid w:val="00D95F20"/>
    <w:rsid w:val="00DA0FD0"/>
    <w:rsid w:val="00DA19B2"/>
    <w:rsid w:val="00DA1A95"/>
    <w:rsid w:val="00DA3444"/>
    <w:rsid w:val="00DA4340"/>
    <w:rsid w:val="00DA4F3E"/>
    <w:rsid w:val="00DB78F7"/>
    <w:rsid w:val="00DC3008"/>
    <w:rsid w:val="00DC5AEC"/>
    <w:rsid w:val="00DC60FD"/>
    <w:rsid w:val="00DD03B7"/>
    <w:rsid w:val="00DD0CBB"/>
    <w:rsid w:val="00DD11EA"/>
    <w:rsid w:val="00DD490D"/>
    <w:rsid w:val="00DE0392"/>
    <w:rsid w:val="00DE3EDD"/>
    <w:rsid w:val="00DE4890"/>
    <w:rsid w:val="00DF0024"/>
    <w:rsid w:val="00DF2C32"/>
    <w:rsid w:val="00DF434A"/>
    <w:rsid w:val="00DF5416"/>
    <w:rsid w:val="00DF54D2"/>
    <w:rsid w:val="00DF59B3"/>
    <w:rsid w:val="00E01168"/>
    <w:rsid w:val="00E02FB7"/>
    <w:rsid w:val="00E034CA"/>
    <w:rsid w:val="00E05382"/>
    <w:rsid w:val="00E07FB1"/>
    <w:rsid w:val="00E170B9"/>
    <w:rsid w:val="00E17C86"/>
    <w:rsid w:val="00E2083C"/>
    <w:rsid w:val="00E210E3"/>
    <w:rsid w:val="00E22FF2"/>
    <w:rsid w:val="00E23BF7"/>
    <w:rsid w:val="00E35962"/>
    <w:rsid w:val="00E37756"/>
    <w:rsid w:val="00E37A58"/>
    <w:rsid w:val="00E41120"/>
    <w:rsid w:val="00E4453C"/>
    <w:rsid w:val="00E517CA"/>
    <w:rsid w:val="00E53978"/>
    <w:rsid w:val="00E556E0"/>
    <w:rsid w:val="00E55927"/>
    <w:rsid w:val="00E55C3D"/>
    <w:rsid w:val="00E57C2B"/>
    <w:rsid w:val="00E60E2D"/>
    <w:rsid w:val="00E61DAB"/>
    <w:rsid w:val="00E62E57"/>
    <w:rsid w:val="00E6559C"/>
    <w:rsid w:val="00E7057A"/>
    <w:rsid w:val="00E71EEB"/>
    <w:rsid w:val="00E745AA"/>
    <w:rsid w:val="00E74E03"/>
    <w:rsid w:val="00E7592A"/>
    <w:rsid w:val="00E75EAD"/>
    <w:rsid w:val="00E77937"/>
    <w:rsid w:val="00E77B39"/>
    <w:rsid w:val="00E846F8"/>
    <w:rsid w:val="00E87D1E"/>
    <w:rsid w:val="00E90782"/>
    <w:rsid w:val="00E9118A"/>
    <w:rsid w:val="00E9375A"/>
    <w:rsid w:val="00E93A11"/>
    <w:rsid w:val="00E9554F"/>
    <w:rsid w:val="00E96BF2"/>
    <w:rsid w:val="00EA215E"/>
    <w:rsid w:val="00EA3CF5"/>
    <w:rsid w:val="00EA60A8"/>
    <w:rsid w:val="00EA720B"/>
    <w:rsid w:val="00EB19F7"/>
    <w:rsid w:val="00EB1F81"/>
    <w:rsid w:val="00EB4406"/>
    <w:rsid w:val="00EB4D2B"/>
    <w:rsid w:val="00EB5D64"/>
    <w:rsid w:val="00EB5DF5"/>
    <w:rsid w:val="00EC159E"/>
    <w:rsid w:val="00EC63A5"/>
    <w:rsid w:val="00EC7952"/>
    <w:rsid w:val="00ED5753"/>
    <w:rsid w:val="00ED74B0"/>
    <w:rsid w:val="00ED7EA8"/>
    <w:rsid w:val="00EE2D9C"/>
    <w:rsid w:val="00EE4E96"/>
    <w:rsid w:val="00EF153D"/>
    <w:rsid w:val="00EF1BFC"/>
    <w:rsid w:val="00EF319E"/>
    <w:rsid w:val="00EF78ED"/>
    <w:rsid w:val="00F00E18"/>
    <w:rsid w:val="00F01AEB"/>
    <w:rsid w:val="00F036CA"/>
    <w:rsid w:val="00F03B49"/>
    <w:rsid w:val="00F05BB5"/>
    <w:rsid w:val="00F063B7"/>
    <w:rsid w:val="00F13D02"/>
    <w:rsid w:val="00F14BE7"/>
    <w:rsid w:val="00F16A14"/>
    <w:rsid w:val="00F17F6E"/>
    <w:rsid w:val="00F204CA"/>
    <w:rsid w:val="00F23432"/>
    <w:rsid w:val="00F2569D"/>
    <w:rsid w:val="00F27EA4"/>
    <w:rsid w:val="00F32EDF"/>
    <w:rsid w:val="00F3674C"/>
    <w:rsid w:val="00F40692"/>
    <w:rsid w:val="00F423AA"/>
    <w:rsid w:val="00F42B2E"/>
    <w:rsid w:val="00F43DC8"/>
    <w:rsid w:val="00F448AC"/>
    <w:rsid w:val="00F55DEB"/>
    <w:rsid w:val="00F57EBA"/>
    <w:rsid w:val="00F65266"/>
    <w:rsid w:val="00F7373F"/>
    <w:rsid w:val="00F7546A"/>
    <w:rsid w:val="00F758D2"/>
    <w:rsid w:val="00F75E83"/>
    <w:rsid w:val="00F806B2"/>
    <w:rsid w:val="00F81FC8"/>
    <w:rsid w:val="00F874F8"/>
    <w:rsid w:val="00F918E9"/>
    <w:rsid w:val="00F920A2"/>
    <w:rsid w:val="00F92E91"/>
    <w:rsid w:val="00F96D83"/>
    <w:rsid w:val="00F979E9"/>
    <w:rsid w:val="00FA2374"/>
    <w:rsid w:val="00FA3809"/>
    <w:rsid w:val="00FA4D91"/>
    <w:rsid w:val="00FB099B"/>
    <w:rsid w:val="00FB0F2A"/>
    <w:rsid w:val="00FB2A52"/>
    <w:rsid w:val="00FB449B"/>
    <w:rsid w:val="00FD2F73"/>
    <w:rsid w:val="00FD44B6"/>
    <w:rsid w:val="00FF36EA"/>
    <w:rsid w:val="00FF3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29058C"/>
  <w15:chartTrackingRefBased/>
  <w15:docId w15:val="{6A7DCB2D-4D8C-4CC3-AFB1-E0625572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212094"/>
    <w:pPr>
      <w:keepNext/>
      <w:keepLines/>
      <w:spacing w:before="480" w:line="276" w:lineRule="auto"/>
      <w:outlineLvl w:val="0"/>
    </w:pPr>
    <w:rPr>
      <w:rFonts w:ascii="Calibri Light" w:hAnsi="Calibri Light"/>
      <w:b/>
      <w:bCs/>
      <w:color w:val="2E74B5"/>
      <w:sz w:val="28"/>
      <w:szCs w:val="28"/>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E1903"/>
    <w:rPr>
      <w:rFonts w:ascii="Tahoma" w:hAnsi="Tahoma"/>
      <w:sz w:val="16"/>
      <w:szCs w:val="16"/>
      <w:lang w:val="x-none" w:eastAsia="x-none"/>
    </w:rPr>
  </w:style>
  <w:style w:type="character" w:customStyle="1" w:styleId="TextbublinyChar">
    <w:name w:val="Text bubliny Char"/>
    <w:link w:val="Textbubliny"/>
    <w:rsid w:val="004E1903"/>
    <w:rPr>
      <w:rFonts w:ascii="Tahoma" w:hAnsi="Tahoma" w:cs="Tahoma"/>
      <w:sz w:val="16"/>
      <w:szCs w:val="16"/>
    </w:rPr>
  </w:style>
  <w:style w:type="paragraph" w:styleId="Zpat">
    <w:name w:val="footer"/>
    <w:basedOn w:val="Normln"/>
    <w:link w:val="ZpatChar"/>
    <w:uiPriority w:val="99"/>
    <w:unhideWhenUsed/>
    <w:rsid w:val="00EC7952"/>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ZpatChar">
    <w:name w:val="Zápatí Char"/>
    <w:link w:val="Zpat"/>
    <w:uiPriority w:val="99"/>
    <w:rsid w:val="00EC7952"/>
    <w:rPr>
      <w:rFonts w:ascii="Calibri" w:eastAsia="Calibri" w:hAnsi="Calibri"/>
      <w:sz w:val="22"/>
      <w:szCs w:val="22"/>
      <w:lang w:eastAsia="en-US"/>
    </w:rPr>
  </w:style>
  <w:style w:type="paragraph" w:styleId="Odstavecseseznamem">
    <w:name w:val="List Paragraph"/>
    <w:basedOn w:val="Normln"/>
    <w:uiPriority w:val="34"/>
    <w:qFormat/>
    <w:rsid w:val="00185D99"/>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rsid w:val="00185D99"/>
    <w:pPr>
      <w:tabs>
        <w:tab w:val="center" w:pos="4536"/>
        <w:tab w:val="right" w:pos="9072"/>
      </w:tabs>
    </w:pPr>
    <w:rPr>
      <w:lang w:val="x-none" w:eastAsia="x-none"/>
    </w:rPr>
  </w:style>
  <w:style w:type="character" w:customStyle="1" w:styleId="ZhlavChar">
    <w:name w:val="Záhlaví Char"/>
    <w:link w:val="Zhlav"/>
    <w:rsid w:val="00185D99"/>
    <w:rPr>
      <w:sz w:val="24"/>
      <w:szCs w:val="24"/>
    </w:rPr>
  </w:style>
  <w:style w:type="table" w:styleId="Mkatabulky">
    <w:name w:val="Table Grid"/>
    <w:basedOn w:val="Normlntabulka"/>
    <w:uiPriority w:val="59"/>
    <w:rsid w:val="007217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06731"/>
    <w:rPr>
      <w:color w:val="0000FF"/>
      <w:u w:val="single"/>
    </w:rPr>
  </w:style>
  <w:style w:type="paragraph" w:customStyle="1" w:styleId="Textbody">
    <w:name w:val="Text body"/>
    <w:basedOn w:val="Normln"/>
    <w:rsid w:val="007D59C4"/>
    <w:pPr>
      <w:tabs>
        <w:tab w:val="left" w:pos="709"/>
      </w:tabs>
      <w:suppressAutoHyphens/>
      <w:autoSpaceDN w:val="0"/>
      <w:spacing w:line="100" w:lineRule="atLeast"/>
    </w:pPr>
    <w:rPr>
      <w:b/>
      <w:color w:val="00000A"/>
      <w:kern w:val="3"/>
      <w:szCs w:val="20"/>
    </w:rPr>
  </w:style>
  <w:style w:type="character" w:styleId="Odkaznakoment">
    <w:name w:val="annotation reference"/>
    <w:uiPriority w:val="99"/>
    <w:rsid w:val="00E37756"/>
    <w:rPr>
      <w:sz w:val="16"/>
      <w:szCs w:val="16"/>
    </w:rPr>
  </w:style>
  <w:style w:type="paragraph" w:styleId="Textkomente">
    <w:name w:val="annotation text"/>
    <w:basedOn w:val="Normln"/>
    <w:link w:val="TextkomenteChar"/>
    <w:uiPriority w:val="99"/>
    <w:rsid w:val="00E37756"/>
    <w:rPr>
      <w:sz w:val="20"/>
      <w:szCs w:val="20"/>
    </w:rPr>
  </w:style>
  <w:style w:type="character" w:customStyle="1" w:styleId="TextkomenteChar">
    <w:name w:val="Text komentáře Char"/>
    <w:basedOn w:val="Standardnpsmoodstavce"/>
    <w:link w:val="Textkomente"/>
    <w:uiPriority w:val="99"/>
    <w:rsid w:val="00E37756"/>
  </w:style>
  <w:style w:type="paragraph" w:styleId="Pedmtkomente">
    <w:name w:val="annotation subject"/>
    <w:basedOn w:val="Textkomente"/>
    <w:next w:val="Textkomente"/>
    <w:link w:val="PedmtkomenteChar"/>
    <w:rsid w:val="00E37756"/>
    <w:rPr>
      <w:b/>
      <w:bCs/>
      <w:lang w:val="x-none" w:eastAsia="x-none"/>
    </w:rPr>
  </w:style>
  <w:style w:type="character" w:customStyle="1" w:styleId="PedmtkomenteChar">
    <w:name w:val="Předmět komentáře Char"/>
    <w:link w:val="Pedmtkomente"/>
    <w:rsid w:val="00E37756"/>
    <w:rPr>
      <w:b/>
      <w:bCs/>
    </w:rPr>
  </w:style>
  <w:style w:type="character" w:customStyle="1" w:styleId="Nadpis1Char">
    <w:name w:val="Nadpis 1 Char"/>
    <w:link w:val="Nadpis1"/>
    <w:uiPriority w:val="9"/>
    <w:rsid w:val="00212094"/>
    <w:rPr>
      <w:rFonts w:ascii="Calibri Light" w:hAnsi="Calibri Light"/>
      <w:b/>
      <w:bCs/>
      <w:color w:val="2E74B5"/>
      <w:sz w:val="28"/>
      <w:szCs w:val="28"/>
      <w:lang w:eastAsia="en-US"/>
    </w:rPr>
  </w:style>
  <w:style w:type="character" w:customStyle="1" w:styleId="h1a5">
    <w:name w:val="h1a5"/>
    <w:rsid w:val="00004B17"/>
    <w:rPr>
      <w:rFonts w:ascii="Arial" w:hAnsi="Arial" w:cs="Arial" w:hint="default"/>
      <w:i/>
      <w:iCs/>
      <w:vanish w:val="0"/>
      <w:webHidden w:val="0"/>
      <w:sz w:val="26"/>
      <w:szCs w:val="26"/>
      <w:specVanish w:val="0"/>
    </w:rPr>
  </w:style>
  <w:style w:type="paragraph" w:styleId="Bezmezer">
    <w:name w:val="No Spacing"/>
    <w:link w:val="BezmezerChar"/>
    <w:uiPriority w:val="1"/>
    <w:qFormat/>
    <w:rsid w:val="004F338F"/>
    <w:rPr>
      <w:sz w:val="24"/>
      <w:szCs w:val="24"/>
    </w:rPr>
  </w:style>
  <w:style w:type="character" w:customStyle="1" w:styleId="BezmezerChar">
    <w:name w:val="Bez mezer Char"/>
    <w:link w:val="Bezmezer"/>
    <w:uiPriority w:val="1"/>
    <w:locked/>
    <w:rsid w:val="004F338F"/>
    <w:rPr>
      <w:sz w:val="24"/>
      <w:szCs w:val="24"/>
      <w:lang w:bidi="ar-SA"/>
    </w:rPr>
  </w:style>
  <w:style w:type="paragraph" w:styleId="Normlnweb">
    <w:name w:val="Normal (Web)"/>
    <w:basedOn w:val="Normln"/>
    <w:uiPriority w:val="99"/>
    <w:unhideWhenUsed/>
    <w:rsid w:val="00BD5B5C"/>
    <w:pPr>
      <w:spacing w:before="192" w:after="192" w:line="360" w:lineRule="atLeast"/>
    </w:pPr>
  </w:style>
  <w:style w:type="character" w:styleId="Sledovanodkaz">
    <w:name w:val="FollowedHyperlink"/>
    <w:rsid w:val="00AA53E1"/>
    <w:rPr>
      <w:color w:val="954F72"/>
      <w:u w:val="single"/>
    </w:rPr>
  </w:style>
  <w:style w:type="character" w:styleId="Zdraznn">
    <w:name w:val="Emphasis"/>
    <w:uiPriority w:val="20"/>
    <w:qFormat/>
    <w:rsid w:val="00B16AC2"/>
    <w:rPr>
      <w:i/>
      <w:iCs/>
    </w:rPr>
  </w:style>
  <w:style w:type="paragraph" w:styleId="Nzev">
    <w:name w:val="Title"/>
    <w:basedOn w:val="Normln"/>
    <w:link w:val="NzevChar"/>
    <w:qFormat/>
    <w:rsid w:val="0093311E"/>
    <w:pPr>
      <w:jc w:val="center"/>
    </w:pPr>
    <w:rPr>
      <w:sz w:val="28"/>
      <w:szCs w:val="20"/>
      <w:lang w:val="x-none" w:eastAsia="x-none"/>
    </w:rPr>
  </w:style>
  <w:style w:type="character" w:customStyle="1" w:styleId="NzevChar">
    <w:name w:val="Název Char"/>
    <w:link w:val="Nzev"/>
    <w:rsid w:val="0093311E"/>
    <w:rPr>
      <w:sz w:val="28"/>
    </w:rPr>
  </w:style>
  <w:style w:type="character" w:styleId="Siln">
    <w:name w:val="Strong"/>
    <w:qFormat/>
    <w:rsid w:val="00E90782"/>
    <w:rPr>
      <w:b/>
      <w:bCs/>
    </w:rPr>
  </w:style>
  <w:style w:type="paragraph" w:customStyle="1" w:styleId="Default">
    <w:name w:val="Default"/>
    <w:rsid w:val="002C35E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5624">
      <w:bodyDiv w:val="1"/>
      <w:marLeft w:val="0"/>
      <w:marRight w:val="0"/>
      <w:marTop w:val="0"/>
      <w:marBottom w:val="0"/>
      <w:divBdr>
        <w:top w:val="none" w:sz="0" w:space="0" w:color="auto"/>
        <w:left w:val="none" w:sz="0" w:space="0" w:color="auto"/>
        <w:bottom w:val="none" w:sz="0" w:space="0" w:color="auto"/>
        <w:right w:val="none" w:sz="0" w:space="0" w:color="auto"/>
      </w:divBdr>
    </w:div>
    <w:div w:id="272901007">
      <w:bodyDiv w:val="1"/>
      <w:marLeft w:val="0"/>
      <w:marRight w:val="0"/>
      <w:marTop w:val="0"/>
      <w:marBottom w:val="0"/>
      <w:divBdr>
        <w:top w:val="none" w:sz="0" w:space="0" w:color="auto"/>
        <w:left w:val="none" w:sz="0" w:space="0" w:color="auto"/>
        <w:bottom w:val="none" w:sz="0" w:space="0" w:color="auto"/>
        <w:right w:val="none" w:sz="0" w:space="0" w:color="auto"/>
      </w:divBdr>
    </w:div>
    <w:div w:id="297536706">
      <w:bodyDiv w:val="1"/>
      <w:marLeft w:val="0"/>
      <w:marRight w:val="0"/>
      <w:marTop w:val="0"/>
      <w:marBottom w:val="0"/>
      <w:divBdr>
        <w:top w:val="none" w:sz="0" w:space="0" w:color="auto"/>
        <w:left w:val="none" w:sz="0" w:space="0" w:color="auto"/>
        <w:bottom w:val="none" w:sz="0" w:space="0" w:color="auto"/>
        <w:right w:val="none" w:sz="0" w:space="0" w:color="auto"/>
      </w:divBdr>
    </w:div>
    <w:div w:id="381170589">
      <w:bodyDiv w:val="1"/>
      <w:marLeft w:val="0"/>
      <w:marRight w:val="0"/>
      <w:marTop w:val="0"/>
      <w:marBottom w:val="0"/>
      <w:divBdr>
        <w:top w:val="none" w:sz="0" w:space="0" w:color="auto"/>
        <w:left w:val="none" w:sz="0" w:space="0" w:color="auto"/>
        <w:bottom w:val="none" w:sz="0" w:space="0" w:color="auto"/>
        <w:right w:val="none" w:sz="0" w:space="0" w:color="auto"/>
      </w:divBdr>
    </w:div>
    <w:div w:id="655231813">
      <w:bodyDiv w:val="1"/>
      <w:marLeft w:val="0"/>
      <w:marRight w:val="0"/>
      <w:marTop w:val="0"/>
      <w:marBottom w:val="0"/>
      <w:divBdr>
        <w:top w:val="none" w:sz="0" w:space="0" w:color="auto"/>
        <w:left w:val="none" w:sz="0" w:space="0" w:color="auto"/>
        <w:bottom w:val="none" w:sz="0" w:space="0" w:color="auto"/>
        <w:right w:val="none" w:sz="0" w:space="0" w:color="auto"/>
      </w:divBdr>
    </w:div>
    <w:div w:id="666253117">
      <w:bodyDiv w:val="1"/>
      <w:marLeft w:val="0"/>
      <w:marRight w:val="0"/>
      <w:marTop w:val="0"/>
      <w:marBottom w:val="0"/>
      <w:divBdr>
        <w:top w:val="none" w:sz="0" w:space="0" w:color="auto"/>
        <w:left w:val="none" w:sz="0" w:space="0" w:color="auto"/>
        <w:bottom w:val="none" w:sz="0" w:space="0" w:color="auto"/>
        <w:right w:val="none" w:sz="0" w:space="0" w:color="auto"/>
      </w:divBdr>
    </w:div>
    <w:div w:id="689986819">
      <w:bodyDiv w:val="1"/>
      <w:marLeft w:val="0"/>
      <w:marRight w:val="0"/>
      <w:marTop w:val="0"/>
      <w:marBottom w:val="0"/>
      <w:divBdr>
        <w:top w:val="none" w:sz="0" w:space="0" w:color="auto"/>
        <w:left w:val="none" w:sz="0" w:space="0" w:color="auto"/>
        <w:bottom w:val="none" w:sz="0" w:space="0" w:color="auto"/>
        <w:right w:val="none" w:sz="0" w:space="0" w:color="auto"/>
      </w:divBdr>
    </w:div>
    <w:div w:id="758258621">
      <w:bodyDiv w:val="1"/>
      <w:marLeft w:val="0"/>
      <w:marRight w:val="0"/>
      <w:marTop w:val="0"/>
      <w:marBottom w:val="0"/>
      <w:divBdr>
        <w:top w:val="none" w:sz="0" w:space="0" w:color="auto"/>
        <w:left w:val="none" w:sz="0" w:space="0" w:color="auto"/>
        <w:bottom w:val="none" w:sz="0" w:space="0" w:color="auto"/>
        <w:right w:val="none" w:sz="0" w:space="0" w:color="auto"/>
      </w:divBdr>
    </w:div>
    <w:div w:id="804275404">
      <w:bodyDiv w:val="1"/>
      <w:marLeft w:val="0"/>
      <w:marRight w:val="0"/>
      <w:marTop w:val="0"/>
      <w:marBottom w:val="0"/>
      <w:divBdr>
        <w:top w:val="none" w:sz="0" w:space="0" w:color="auto"/>
        <w:left w:val="none" w:sz="0" w:space="0" w:color="auto"/>
        <w:bottom w:val="none" w:sz="0" w:space="0" w:color="auto"/>
        <w:right w:val="none" w:sz="0" w:space="0" w:color="auto"/>
      </w:divBdr>
    </w:div>
    <w:div w:id="1048796563">
      <w:bodyDiv w:val="1"/>
      <w:marLeft w:val="0"/>
      <w:marRight w:val="0"/>
      <w:marTop w:val="0"/>
      <w:marBottom w:val="0"/>
      <w:divBdr>
        <w:top w:val="none" w:sz="0" w:space="0" w:color="auto"/>
        <w:left w:val="none" w:sz="0" w:space="0" w:color="auto"/>
        <w:bottom w:val="none" w:sz="0" w:space="0" w:color="auto"/>
        <w:right w:val="none" w:sz="0" w:space="0" w:color="auto"/>
      </w:divBdr>
    </w:div>
    <w:div w:id="1457871997">
      <w:bodyDiv w:val="1"/>
      <w:marLeft w:val="0"/>
      <w:marRight w:val="0"/>
      <w:marTop w:val="0"/>
      <w:marBottom w:val="0"/>
      <w:divBdr>
        <w:top w:val="none" w:sz="0" w:space="0" w:color="auto"/>
        <w:left w:val="none" w:sz="0" w:space="0" w:color="auto"/>
        <w:bottom w:val="none" w:sz="0" w:space="0" w:color="auto"/>
        <w:right w:val="none" w:sz="0" w:space="0" w:color="auto"/>
      </w:divBdr>
    </w:div>
    <w:div w:id="1738162778">
      <w:bodyDiv w:val="1"/>
      <w:marLeft w:val="0"/>
      <w:marRight w:val="0"/>
      <w:marTop w:val="0"/>
      <w:marBottom w:val="0"/>
      <w:divBdr>
        <w:top w:val="none" w:sz="0" w:space="0" w:color="auto"/>
        <w:left w:val="none" w:sz="0" w:space="0" w:color="auto"/>
        <w:bottom w:val="none" w:sz="0" w:space="0" w:color="auto"/>
        <w:right w:val="none" w:sz="0" w:space="0" w:color="auto"/>
      </w:divBdr>
    </w:div>
    <w:div w:id="1980765387">
      <w:bodyDiv w:val="1"/>
      <w:marLeft w:val="0"/>
      <w:marRight w:val="0"/>
      <w:marTop w:val="0"/>
      <w:marBottom w:val="0"/>
      <w:divBdr>
        <w:top w:val="none" w:sz="0" w:space="0" w:color="auto"/>
        <w:left w:val="none" w:sz="0" w:space="0" w:color="auto"/>
        <w:bottom w:val="none" w:sz="0" w:space="0" w:color="auto"/>
        <w:right w:val="none" w:sz="0" w:space="0" w:color="auto"/>
      </w:divBdr>
    </w:div>
    <w:div w:id="20817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zikov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786B3-ED3C-4F4A-8B36-2ADED6B3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2471</TotalTime>
  <Pages>4</Pages>
  <Words>1278</Words>
  <Characters>7541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Česká obchodní inspekce</vt:lpstr>
    </vt:vector>
  </TitlesOfParts>
  <Company>COI</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obchodní inspekce</dc:title>
  <dc:subject/>
  <dc:creator>vjanca</dc:creator>
  <cp:keywords/>
  <dc:description/>
  <cp:lastModifiedBy>Tichota Ondřej</cp:lastModifiedBy>
  <cp:revision>19</cp:revision>
  <cp:lastPrinted>2020-03-20T08:49:00Z</cp:lastPrinted>
  <dcterms:created xsi:type="dcterms:W3CDTF">2021-01-30T20:30:00Z</dcterms:created>
  <dcterms:modified xsi:type="dcterms:W3CDTF">2021-03-25T08:03:00Z</dcterms:modified>
</cp:coreProperties>
</file>