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CD16" w14:textId="6DB49852" w:rsidR="00495242" w:rsidRPr="00C4432D" w:rsidRDefault="00495242" w:rsidP="00C4432D">
      <w:pPr>
        <w:spacing w:after="120"/>
        <w:jc w:val="right"/>
        <w:rPr>
          <w:b/>
          <w:bCs/>
          <w:i/>
          <w:iCs/>
          <w:lang w:val="en-GB"/>
        </w:rPr>
      </w:pPr>
      <w:r w:rsidRPr="00C4432D">
        <w:rPr>
          <w:b/>
          <w:bCs/>
          <w:i/>
          <w:iCs/>
          <w:lang w:val="en-GB"/>
        </w:rPr>
        <w:t xml:space="preserve">Brussels, </w:t>
      </w:r>
      <w:r w:rsidR="00735E68">
        <w:rPr>
          <w:b/>
          <w:bCs/>
          <w:i/>
          <w:iCs/>
          <w:lang w:val="en-GB"/>
        </w:rPr>
        <w:t>February</w:t>
      </w:r>
      <w:r w:rsidRPr="00C4432D">
        <w:rPr>
          <w:b/>
          <w:bCs/>
          <w:i/>
          <w:iCs/>
          <w:lang w:val="en-GB"/>
        </w:rPr>
        <w:t xml:space="preserve"> 202</w:t>
      </w:r>
      <w:r w:rsidR="00A25B50" w:rsidRPr="00C4432D">
        <w:rPr>
          <w:b/>
          <w:bCs/>
          <w:i/>
          <w:iCs/>
          <w:lang w:val="en-GB"/>
        </w:rPr>
        <w:t>3</w:t>
      </w:r>
    </w:p>
    <w:p w14:paraId="0E3ADAE5" w14:textId="203E9E85" w:rsidR="00F95E65" w:rsidRDefault="00AF4435" w:rsidP="00C4432D">
      <w:pPr>
        <w:pStyle w:val="Heading1"/>
        <w:rPr>
          <w:lang w:val="en-GB"/>
        </w:rPr>
      </w:pPr>
      <w:r>
        <w:rPr>
          <w:lang w:val="en-GB"/>
        </w:rPr>
        <w:t>JAHARP2020</w:t>
      </w:r>
      <w:r w:rsidR="00D267CC">
        <w:rPr>
          <w:lang w:val="en-GB"/>
        </w:rPr>
        <w:t>-</w:t>
      </w:r>
      <w:r w:rsidR="00787B0D">
        <w:rPr>
          <w:lang w:val="en-GB"/>
        </w:rPr>
        <w:t>3</w:t>
      </w:r>
      <w:r w:rsidR="00D267CC">
        <w:rPr>
          <w:lang w:val="en-GB"/>
        </w:rPr>
        <w:t xml:space="preserve"> </w:t>
      </w:r>
      <w:r w:rsidR="00F95E65">
        <w:rPr>
          <w:lang w:val="en-GB"/>
        </w:rPr>
        <w:t>–</w:t>
      </w:r>
      <w:r>
        <w:rPr>
          <w:lang w:val="en-GB"/>
        </w:rPr>
        <w:t xml:space="preserve"> </w:t>
      </w:r>
      <w:r w:rsidR="00735E68">
        <w:rPr>
          <w:lang w:val="en-GB"/>
        </w:rPr>
        <w:t xml:space="preserve">First </w:t>
      </w:r>
      <w:r>
        <w:rPr>
          <w:lang w:val="en-GB"/>
        </w:rPr>
        <w:t>Newsletter</w:t>
      </w:r>
    </w:p>
    <w:p w14:paraId="704FFAA4" w14:textId="37BC02D1" w:rsidR="00C4432D" w:rsidRPr="00C4432D" w:rsidRDefault="00C4432D" w:rsidP="00C4432D">
      <w:pPr>
        <w:rPr>
          <w:lang w:val="en-GB"/>
        </w:rPr>
      </w:pPr>
      <w:r w:rsidRPr="00641461">
        <w:rPr>
          <w:noProof/>
          <w:color w:val="568278" w:themeColor="accent5" w:themeShade="BF"/>
          <w:lang w:val="en-GB"/>
        </w:rPr>
        <mc:AlternateContent>
          <mc:Choice Requires="wps">
            <w:drawing>
              <wp:anchor distT="0" distB="0" distL="114300" distR="114300" simplePos="0" relativeHeight="251658240" behindDoc="0" locked="0" layoutInCell="1" allowOverlap="1" wp14:anchorId="25A2C379" wp14:editId="138DBFA4">
                <wp:simplePos x="0" y="0"/>
                <wp:positionH relativeFrom="margin">
                  <wp:align>right</wp:align>
                </wp:positionH>
                <wp:positionV relativeFrom="paragraph">
                  <wp:posOffset>157906</wp:posOffset>
                </wp:positionV>
                <wp:extent cx="6332524"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3325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C00085D" id="Straight Connector 2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4pt,12.45pt" to="94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N+pQEAAJ4DAAAOAAAAZHJzL2Uyb0RvYy54bWysU01P3DAQvSP1P1i+d5NdCkLRZjmA6KUC&#10;VKB344w3lvwl22yy/77jyW6oAFVqxcXyx7w3896M15ejNWwHMWnvWr5c1JyBk77Tbtvyp8ebrxec&#10;pSxcJ4x30PI9JH65+XKyHkIDK99700FkSOJSM4SW9zmHpqqS7MGKtPABHD4qH63IeIzbqotiQHZr&#10;qlVdn1eDj12IXkJKeHs9PfIN8SsFMt8plSAz03KsLdMaaX0ua7VZi2YbRei1PJQh/qMKK7TDpDPV&#10;tciCvUT9jspqGX3yKi+kt5VXSksgDahmWb9R89CLAKQFzUlhtil9Hq283V25+4g2DCE1KdzHomJU&#10;0TJldPiFPSVdWCkbybb9bBuMmUm8PD89XZ2tvnEmj2/VRFGoQkz5O3jLyqblRruiSDRi9yNlTIuh&#10;xxA8vBZBu7w3UIKN+wmK6Q6TTeXQfMCViWwnsLNCSnB5WbqJfBRdYEobMwNrSvtX4CG+QIFm51/A&#10;M4Iye5dnsNXOx4+y5/FYsprijw5MuosFz77bU3vIGhwCUngY2DJlf54J/vqtNr8BAAD//wMAUEsD&#10;BBQABgAIAAAAIQDWVgxb3AAAAAYBAAAPAAAAZHJzL2Rvd25yZXYueG1sTI9BS8NAEIXvgv9hGcGL&#10;tBuDqInZFBH1UE+tFvQ2yY5JaHY2ZKdp/PeueNDjvPd475tiNbteTTSGzrOBy2UCirj2tuPGwNvr&#10;0+IWVBBki71nMvBFAVbl6UmBufVH3tC0lUbFEg45GmhFhlzrULfkMCz9QBy9Tz86lHiOjbYjHmO5&#10;63WaJNfaYcdxocWBHlqq99uDM/ARfHjcravpeb9Zz3jxIul7bY05P5vv70AJzfIXhh/8iA5lZKr8&#10;gW1QvYH4iBhIrzJQ0c2ymxRU9SvostD/8ctvAAAA//8DAFBLAQItABQABgAIAAAAIQC2gziS/gAA&#10;AOEBAAATAAAAAAAAAAAAAAAAAAAAAABbQ29udGVudF9UeXBlc10ueG1sUEsBAi0AFAAGAAgAAAAh&#10;ADj9If/WAAAAlAEAAAsAAAAAAAAAAAAAAAAALwEAAF9yZWxzLy5yZWxzUEsBAi0AFAAGAAgAAAAh&#10;AOWdQ36lAQAAngMAAA4AAAAAAAAAAAAAAAAALgIAAGRycy9lMm9Eb2MueG1sUEsBAi0AFAAGAAgA&#10;AAAhANZWDFvcAAAABgEAAA8AAAAAAAAAAAAAAAAA/wMAAGRycy9kb3ducmV2LnhtbFBLBQYAAAAA&#10;BAAEAPMAAAAIBQAAAAA=&#10;" strokecolor="#94b6d2 [3204]" strokeweight=".5pt">
                <v:stroke joinstyle="miter"/>
                <w10:wrap anchorx="margin"/>
              </v:line>
            </w:pict>
          </mc:Fallback>
        </mc:AlternateContent>
      </w:r>
    </w:p>
    <w:p w14:paraId="589004E5" w14:textId="39558A09" w:rsidR="007C6EA4" w:rsidRPr="00C4432D" w:rsidRDefault="006A10C7" w:rsidP="00F95E65">
      <w:pPr>
        <w:rPr>
          <w:b/>
          <w:bCs/>
          <w:color w:val="548AB7" w:themeColor="accent1" w:themeShade="BF"/>
          <w:sz w:val="24"/>
          <w:szCs w:val="24"/>
          <w:lang w:val="en-GB"/>
        </w:rPr>
      </w:pPr>
      <w:r w:rsidRPr="00C4432D">
        <w:rPr>
          <w:b/>
          <w:bCs/>
          <w:color w:val="548AB7" w:themeColor="accent1" w:themeShade="BF"/>
          <w:sz w:val="24"/>
          <w:szCs w:val="24"/>
          <w:lang w:val="en-GB"/>
        </w:rPr>
        <w:t>22</w:t>
      </w:r>
      <w:r w:rsidR="00F52729" w:rsidRPr="00C4432D">
        <w:rPr>
          <w:b/>
          <w:bCs/>
          <w:color w:val="548AB7" w:themeColor="accent1" w:themeShade="BF"/>
          <w:sz w:val="24"/>
          <w:szCs w:val="24"/>
          <w:lang w:val="en-GB"/>
        </w:rPr>
        <w:t xml:space="preserve"> Market Surveillance Authorities (MSAs) from </w:t>
      </w:r>
      <w:r w:rsidRPr="00C4432D">
        <w:rPr>
          <w:b/>
          <w:bCs/>
          <w:color w:val="548AB7" w:themeColor="accent1" w:themeShade="BF"/>
          <w:sz w:val="24"/>
          <w:szCs w:val="24"/>
          <w:lang w:val="en-GB"/>
        </w:rPr>
        <w:t>2</w:t>
      </w:r>
      <w:r w:rsidR="0099534F" w:rsidRPr="00C4432D">
        <w:rPr>
          <w:b/>
          <w:bCs/>
          <w:color w:val="548AB7" w:themeColor="accent1" w:themeShade="BF"/>
          <w:sz w:val="24"/>
          <w:szCs w:val="24"/>
          <w:lang w:val="en-GB"/>
        </w:rPr>
        <w:t>1</w:t>
      </w:r>
      <w:r w:rsidR="00F52729" w:rsidRPr="00C4432D">
        <w:rPr>
          <w:b/>
          <w:bCs/>
          <w:color w:val="548AB7" w:themeColor="accent1" w:themeShade="BF"/>
          <w:sz w:val="24"/>
          <w:szCs w:val="24"/>
          <w:lang w:val="en-GB"/>
        </w:rPr>
        <w:t xml:space="preserve"> European countries work jointly to keep European consumers safe.</w:t>
      </w:r>
    </w:p>
    <w:p w14:paraId="1CD9710E" w14:textId="14F2D9C0" w:rsidR="00D03782" w:rsidRDefault="00790F7B" w:rsidP="00C4432D">
      <w:pPr>
        <w:spacing w:after="0"/>
        <w:rPr>
          <w:sz w:val="20"/>
          <w:szCs w:val="20"/>
          <w:lang w:val="en-GB"/>
        </w:rPr>
      </w:pPr>
      <w:r>
        <w:rPr>
          <w:noProof/>
          <w:sz w:val="18"/>
          <w:szCs w:val="18"/>
          <w:lang w:val="en-GB"/>
        </w:rPr>
        <w:drawing>
          <wp:anchor distT="0" distB="0" distL="114300" distR="114300" simplePos="0" relativeHeight="251658245" behindDoc="0" locked="0" layoutInCell="1" allowOverlap="1" wp14:anchorId="4398642E" wp14:editId="4B568D46">
            <wp:simplePos x="0" y="0"/>
            <wp:positionH relativeFrom="margin">
              <wp:align>left</wp:align>
            </wp:positionH>
            <wp:positionV relativeFrom="paragraph">
              <wp:posOffset>2540</wp:posOffset>
            </wp:positionV>
            <wp:extent cx="1891030" cy="1418590"/>
            <wp:effectExtent l="0" t="0" r="0" b="0"/>
            <wp:wrapSquare wrapText="bothSides"/>
            <wp:docPr id="97" name="Picture 97"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map&#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32" t="3164" r="2841" b="5385"/>
                    <a:stretch/>
                  </pic:blipFill>
                  <pic:spPr bwMode="auto">
                    <a:xfrm>
                      <a:off x="0" y="0"/>
                      <a:ext cx="1919064" cy="14393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782" w:rsidRPr="00C4432D">
        <w:rPr>
          <w:sz w:val="20"/>
          <w:szCs w:val="20"/>
          <w:lang w:val="en-GB"/>
        </w:rPr>
        <w:t xml:space="preserve">How safe are your products? </w:t>
      </w:r>
    </w:p>
    <w:p w14:paraId="1FC23E7F" w14:textId="77777777" w:rsidR="00BA7F04" w:rsidRPr="00C4432D" w:rsidRDefault="00BA7F04" w:rsidP="00C4432D">
      <w:pPr>
        <w:spacing w:after="0"/>
        <w:rPr>
          <w:b/>
          <w:bCs/>
          <w:color w:val="002060"/>
          <w:sz w:val="20"/>
          <w:szCs w:val="20"/>
          <w:lang w:val="en-GB"/>
        </w:rPr>
      </w:pPr>
    </w:p>
    <w:p w14:paraId="6CC92AF2" w14:textId="3E5D8B1D" w:rsidR="00D03782" w:rsidRPr="00C4432D" w:rsidRDefault="00D03782" w:rsidP="00C4432D">
      <w:pPr>
        <w:spacing w:after="0"/>
        <w:jc w:val="both"/>
        <w:rPr>
          <w:sz w:val="20"/>
          <w:szCs w:val="20"/>
          <w:lang w:val="en-GB"/>
        </w:rPr>
      </w:pPr>
      <w:r w:rsidRPr="00C4432D">
        <w:rPr>
          <w:sz w:val="20"/>
          <w:szCs w:val="20"/>
          <w:lang w:val="en-GB"/>
        </w:rPr>
        <w:t xml:space="preserve">JAHARP2020-3 chose specific product categories and performed </w:t>
      </w:r>
      <w:r w:rsidR="00EA1806" w:rsidRPr="00C4432D">
        <w:rPr>
          <w:sz w:val="20"/>
          <w:szCs w:val="20"/>
          <w:lang w:val="en-GB"/>
        </w:rPr>
        <w:t xml:space="preserve">documentary checks and </w:t>
      </w:r>
      <w:r w:rsidRPr="00C4432D">
        <w:rPr>
          <w:sz w:val="20"/>
          <w:szCs w:val="20"/>
          <w:lang w:val="en-GB"/>
        </w:rPr>
        <w:t xml:space="preserve">tests to assess their safety and compliance with the European legislation. We are checking </w:t>
      </w:r>
      <w:r w:rsidR="005A1B09" w:rsidRPr="00C4432D">
        <w:rPr>
          <w:sz w:val="20"/>
          <w:szCs w:val="20"/>
          <w:lang w:val="en-GB"/>
        </w:rPr>
        <w:t>28</w:t>
      </w:r>
      <w:r w:rsidRPr="00C4432D">
        <w:rPr>
          <w:sz w:val="20"/>
          <w:szCs w:val="20"/>
          <w:lang w:val="en-GB"/>
        </w:rPr>
        <w:t xml:space="preserve"> </w:t>
      </w:r>
      <w:r w:rsidR="003F302C" w:rsidRPr="00C4432D">
        <w:rPr>
          <w:sz w:val="20"/>
          <w:szCs w:val="20"/>
          <w:lang w:val="en-GB"/>
        </w:rPr>
        <w:t>gas-fired space heaters</w:t>
      </w:r>
      <w:r w:rsidRPr="00C4432D">
        <w:rPr>
          <w:sz w:val="20"/>
          <w:szCs w:val="20"/>
          <w:lang w:val="en-GB"/>
        </w:rPr>
        <w:t xml:space="preserve">, </w:t>
      </w:r>
      <w:r w:rsidR="00B54685" w:rsidRPr="00C4432D">
        <w:rPr>
          <w:sz w:val="20"/>
          <w:szCs w:val="20"/>
          <w:lang w:val="en-GB"/>
        </w:rPr>
        <w:t>and 120 USB chargers.</w:t>
      </w:r>
      <w:r w:rsidR="00F4658D" w:rsidRPr="00C4432D">
        <w:rPr>
          <w:sz w:val="20"/>
          <w:szCs w:val="20"/>
          <w:lang w:val="en-GB"/>
        </w:rPr>
        <w:t xml:space="preserve"> </w:t>
      </w:r>
      <w:r w:rsidR="00185428" w:rsidRPr="00C4432D">
        <w:rPr>
          <w:sz w:val="20"/>
          <w:szCs w:val="20"/>
          <w:lang w:val="en-GB"/>
        </w:rPr>
        <w:t xml:space="preserve">Also, we are </w:t>
      </w:r>
      <w:r w:rsidR="00A25B50" w:rsidRPr="00C4432D">
        <w:rPr>
          <w:sz w:val="20"/>
          <w:szCs w:val="20"/>
          <w:lang w:val="en-GB"/>
        </w:rPr>
        <w:t>developing</w:t>
      </w:r>
      <w:r w:rsidR="00185428" w:rsidRPr="00C4432D">
        <w:rPr>
          <w:sz w:val="20"/>
          <w:szCs w:val="20"/>
          <w:lang w:val="en-GB"/>
        </w:rPr>
        <w:t xml:space="preserve"> a harmonised approach to </w:t>
      </w:r>
      <w:r w:rsidR="00A25B50" w:rsidRPr="00C4432D">
        <w:rPr>
          <w:sz w:val="20"/>
          <w:szCs w:val="20"/>
          <w:lang w:val="en-GB"/>
        </w:rPr>
        <w:t>market surveillance of large TPE (tanks) for the transport of class 2 gases</w:t>
      </w:r>
      <w:r w:rsidR="00185428" w:rsidRPr="00C4432D">
        <w:rPr>
          <w:sz w:val="20"/>
          <w:szCs w:val="20"/>
          <w:lang w:val="en-GB"/>
        </w:rPr>
        <w:t>.</w:t>
      </w:r>
      <w:r w:rsidR="00A7610C" w:rsidRPr="00C4432D">
        <w:rPr>
          <w:sz w:val="20"/>
          <w:szCs w:val="20"/>
          <w:lang w:val="en-GB"/>
        </w:rPr>
        <w:t xml:space="preserve"> </w:t>
      </w:r>
      <w:r w:rsidRPr="00C4432D">
        <w:rPr>
          <w:sz w:val="20"/>
          <w:szCs w:val="20"/>
          <w:lang w:val="en-GB"/>
        </w:rPr>
        <w:t xml:space="preserve">All non-compliant products would require follow-up measures by the </w:t>
      </w:r>
      <w:r w:rsidRPr="00C4432D">
        <w:rPr>
          <w:rFonts w:hint="cs"/>
          <w:sz w:val="20"/>
          <w:szCs w:val="20"/>
          <w:lang w:val="en-GB"/>
        </w:rPr>
        <w:t>European Market Surveillance Authorities</w:t>
      </w:r>
      <w:r w:rsidRPr="00C4432D">
        <w:rPr>
          <w:sz w:val="20"/>
          <w:szCs w:val="20"/>
          <w:lang w:val="en-GB"/>
        </w:rPr>
        <w:t xml:space="preserve"> (MSAs).</w:t>
      </w:r>
    </w:p>
    <w:p w14:paraId="38EA3213" w14:textId="570B7116" w:rsidR="00355A78" w:rsidRDefault="00195D81" w:rsidP="00355A78">
      <w:pPr>
        <w:jc w:val="both"/>
        <w:rPr>
          <w:lang w:val="en-GB"/>
        </w:rPr>
      </w:pPr>
      <w:r w:rsidRPr="00641461">
        <w:rPr>
          <w:noProof/>
          <w:color w:val="568278" w:themeColor="accent5" w:themeShade="BF"/>
          <w:lang w:val="en-GB"/>
        </w:rPr>
        <mc:AlternateContent>
          <mc:Choice Requires="wps">
            <w:drawing>
              <wp:anchor distT="0" distB="0" distL="114300" distR="114300" simplePos="0" relativeHeight="251658241" behindDoc="0" locked="0" layoutInCell="1" allowOverlap="1" wp14:anchorId="71ABBC79" wp14:editId="4881B9DE">
                <wp:simplePos x="0" y="0"/>
                <wp:positionH relativeFrom="margin">
                  <wp:align>right</wp:align>
                </wp:positionH>
                <wp:positionV relativeFrom="paragraph">
                  <wp:posOffset>53994</wp:posOffset>
                </wp:positionV>
                <wp:extent cx="6291617"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2916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0B4296D" id="Straight Connector 13"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4.2pt,4.25pt" to="93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1pQEAAJ4DAAAOAAAAZHJzL2Uyb0RvYy54bWysU8tu2zAQvAfoPxC815J8cFrBcg4J0kvR&#10;BEmTO0MtLQJ8gWQt+e+7XNlK0RQFWuRC8LEzuzO73F5N1rADxKS963izqjkDJ32v3b7jT99vP37i&#10;LGXhemG8g44fIfGr3YeL7RhaWPvBmx4iQxKX2jF0fMg5tFWV5ABWpJUP4PBR+WhFxmPcV30UI7Jb&#10;U63relONPvYhegkp4e3N/Mh3xK8UyHynVILMTMextkxrpPWlrNVuK9p9FGHQ8lSG+I8qrNAOky5U&#10;NyIL9iPqN1RWy+iTV3klva28UloCaUA1Tf2bmsdBBCAtaE4Ki03p/Wjlt8O1u49owxhSm8J9LCom&#10;FS1TRodn7CnpwkrZRLYdF9tgykzi5Wb9udk0l5zJ81s1UxSqEFP+At6ysum40a4oEq04fE0Z02Lo&#10;OQQPr0XQLh8NlGDjHkAx3WOyuRyaD7g2kR0EdlZICS43pZvIR9EFprQxC7CmtH8FnuILFGh2/gW8&#10;ICizd3kBW+18/FP2PJ1LVnP82YFZd7HgxfdHag9Zg0NACk8DW6bs1zPBX7/V7icAAAD//wMAUEsD&#10;BBQABgAIAAAAIQBmD7qT2gAAAAQBAAAPAAAAZHJzL2Rvd25yZXYueG1sTI9PS8NAFMTvgt9heYIX&#10;sRsLShuzKaWoh3rqH6G9vWSfSWj2bchu0/jtfXrR4zDDzG+yxehaNVAfGs8GHiYJKOLS24YrA/vd&#10;6/0MVIjIFlvPZOCLAizy66sMU+svvKFhGyslJRxSNFDH2KVah7Imh2HiO2LxPn3vMIrsK217vEi5&#10;a/U0SZ60w4ZlocaOVjWVp+3ZGTgGH14+1sXwdtqsR7x7j9NDaY25vRmXz6AijfEvDD/4gg65MBX+&#10;zDao1oAciQZmj6DEnM8T+VH8ap1n+j98/g0AAP//AwBQSwECLQAUAAYACAAAACEAtoM4kv4AAADh&#10;AQAAEwAAAAAAAAAAAAAAAAAAAAAAW0NvbnRlbnRfVHlwZXNdLnhtbFBLAQItABQABgAIAAAAIQA4&#10;/SH/1gAAAJQBAAALAAAAAAAAAAAAAAAAAC8BAABfcmVscy8ucmVsc1BLAQItABQABgAIAAAAIQB+&#10;W0j1pQEAAJ4DAAAOAAAAAAAAAAAAAAAAAC4CAABkcnMvZTJvRG9jLnhtbFBLAQItABQABgAIAAAA&#10;IQBmD7qT2gAAAAQBAAAPAAAAAAAAAAAAAAAAAP8DAABkcnMvZG93bnJldi54bWxQSwUGAAAAAAQA&#10;BADzAAAABgUAAAAA&#10;" strokecolor="#94b6d2 [3204]" strokeweight=".5pt">
                <v:stroke joinstyle="miter"/>
                <w10:wrap anchorx="margin"/>
              </v:line>
            </w:pict>
          </mc:Fallback>
        </mc:AlternateContent>
      </w:r>
    </w:p>
    <w:p w14:paraId="566D6EA0" w14:textId="264ED265" w:rsidR="000D657C" w:rsidRDefault="00355A78" w:rsidP="00BA7F04">
      <w:pPr>
        <w:ind w:left="284"/>
        <w:jc w:val="both"/>
        <w:rPr>
          <w:noProof/>
          <w:lang w:val="en-GB"/>
        </w:rPr>
      </w:pPr>
      <w:r>
        <w:rPr>
          <w:noProof/>
          <w:lang w:val="en-GB"/>
        </w:rPr>
        <w:drawing>
          <wp:inline distT="0" distB="0" distL="0" distR="0" wp14:anchorId="73A66EA1" wp14:editId="0E1F90B5">
            <wp:extent cx="5737860" cy="51011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76" r="2400" b="8841"/>
                    <a:stretch/>
                  </pic:blipFill>
                  <pic:spPr bwMode="auto">
                    <a:xfrm>
                      <a:off x="0" y="0"/>
                      <a:ext cx="5744685" cy="5107260"/>
                    </a:xfrm>
                    <a:prstGeom prst="rect">
                      <a:avLst/>
                    </a:prstGeom>
                    <a:noFill/>
                    <a:ln>
                      <a:noFill/>
                    </a:ln>
                    <a:extLst>
                      <a:ext uri="{53640926-AAD7-44D8-BBD7-CCE9431645EC}">
                        <a14:shadowObscured xmlns:a14="http://schemas.microsoft.com/office/drawing/2010/main"/>
                      </a:ext>
                    </a:extLst>
                  </pic:spPr>
                </pic:pic>
              </a:graphicData>
            </a:graphic>
          </wp:inline>
        </w:drawing>
      </w:r>
    </w:p>
    <w:p w14:paraId="22CAA5D0" w14:textId="3E194A4E" w:rsidR="00735098" w:rsidRDefault="00B6473C" w:rsidP="00CE72F5">
      <w:pPr>
        <w:spacing w:after="0"/>
        <w:jc w:val="both"/>
        <w:rPr>
          <w:lang w:val="en-GB"/>
        </w:rPr>
      </w:pPr>
      <w:r w:rsidRPr="001B15D1">
        <w:rPr>
          <w:sz w:val="20"/>
          <w:szCs w:val="20"/>
          <w:lang w:val="en-GB"/>
        </w:rPr>
        <w:t>The JAHARP2020-</w:t>
      </w:r>
      <w:r>
        <w:rPr>
          <w:sz w:val="20"/>
          <w:szCs w:val="20"/>
          <w:lang w:val="en-GB"/>
        </w:rPr>
        <w:t>3</w:t>
      </w:r>
      <w:r w:rsidRPr="001B15D1">
        <w:rPr>
          <w:sz w:val="20"/>
          <w:szCs w:val="20"/>
          <w:lang w:val="en-GB"/>
        </w:rPr>
        <w:t xml:space="preserve"> is a 24-month pan-European </w:t>
      </w:r>
      <w:r>
        <w:rPr>
          <w:sz w:val="20"/>
          <w:szCs w:val="20"/>
          <w:lang w:val="en-GB"/>
        </w:rPr>
        <w:t>Triplet P</w:t>
      </w:r>
      <w:r w:rsidRPr="001B15D1">
        <w:rPr>
          <w:sz w:val="20"/>
          <w:szCs w:val="20"/>
          <w:lang w:val="en-GB"/>
        </w:rPr>
        <w:t>roject co-funded by the European Union (EU</w:t>
      </w:r>
      <w:r>
        <w:rPr>
          <w:sz w:val="20"/>
          <w:szCs w:val="20"/>
          <w:lang w:val="en-GB"/>
        </w:rPr>
        <w:t>). I</w:t>
      </w:r>
      <w:r w:rsidRPr="001B15D1">
        <w:rPr>
          <w:sz w:val="20"/>
          <w:szCs w:val="20"/>
          <w:lang w:val="en-GB"/>
        </w:rPr>
        <w:t xml:space="preserve">ts strategic objective is threefold: (i) to </w:t>
      </w:r>
      <w:r w:rsidRPr="001B15D1">
        <w:rPr>
          <w:rFonts w:hint="cs"/>
          <w:sz w:val="20"/>
          <w:szCs w:val="20"/>
          <w:lang w:val="en-GB"/>
        </w:rPr>
        <w:t>raise the level of market surveillance</w:t>
      </w:r>
      <w:r w:rsidRPr="001B15D1">
        <w:rPr>
          <w:sz w:val="20"/>
          <w:szCs w:val="20"/>
          <w:lang w:val="en-GB"/>
        </w:rPr>
        <w:t>; (ii) to facilitate</w:t>
      </w:r>
      <w:r w:rsidRPr="001B15D1">
        <w:rPr>
          <w:rFonts w:hint="cs"/>
          <w:sz w:val="20"/>
          <w:szCs w:val="20"/>
          <w:lang w:val="en-GB"/>
        </w:rPr>
        <w:t xml:space="preserve"> </w:t>
      </w:r>
      <w:r w:rsidRPr="001B15D1">
        <w:rPr>
          <w:sz w:val="20"/>
          <w:szCs w:val="20"/>
          <w:lang w:val="en-GB"/>
        </w:rPr>
        <w:t>the</w:t>
      </w:r>
      <w:r w:rsidRPr="001B15D1">
        <w:rPr>
          <w:rFonts w:hint="cs"/>
          <w:sz w:val="20"/>
          <w:szCs w:val="20"/>
          <w:lang w:val="en-GB"/>
        </w:rPr>
        <w:t xml:space="preserve"> application of the new Market Surveillance Regulation (EU) 2019/1020</w:t>
      </w:r>
      <w:r w:rsidRPr="001B15D1">
        <w:rPr>
          <w:sz w:val="20"/>
          <w:szCs w:val="20"/>
          <w:lang w:val="en-GB"/>
        </w:rPr>
        <w:t>; and (iii) to increase the capability</w:t>
      </w:r>
      <w:r w:rsidRPr="001B15D1">
        <w:rPr>
          <w:rFonts w:hint="cs"/>
          <w:sz w:val="20"/>
          <w:szCs w:val="20"/>
          <w:lang w:val="en-GB"/>
        </w:rPr>
        <w:t xml:space="preserve"> of the European </w:t>
      </w:r>
      <w:r w:rsidRPr="001B15D1">
        <w:rPr>
          <w:sz w:val="20"/>
          <w:szCs w:val="20"/>
          <w:lang w:val="en-GB"/>
        </w:rPr>
        <w:t xml:space="preserve">MSAs. The project is coordinated by </w:t>
      </w:r>
      <w:hyperlink r:id="rId12" w:history="1">
        <w:r w:rsidRPr="001B15D1">
          <w:rPr>
            <w:rStyle w:val="Hyperlink"/>
            <w:sz w:val="20"/>
            <w:szCs w:val="20"/>
            <w:lang w:val="en-GB"/>
          </w:rPr>
          <w:t>PROSAFE - The Product Safety Forum of Europe</w:t>
        </w:r>
      </w:hyperlink>
      <w:r w:rsidRPr="001B15D1">
        <w:rPr>
          <w:sz w:val="20"/>
          <w:szCs w:val="20"/>
          <w:lang w:val="en-GB"/>
        </w:rPr>
        <w:t>, a non-profit NGO formed by market surveillance officers and based in Brussels.</w:t>
      </w:r>
      <w:r w:rsidR="00735098">
        <w:rPr>
          <w:lang w:val="en-GB"/>
        </w:rPr>
        <w:t xml:space="preserve"> </w:t>
      </w:r>
    </w:p>
    <w:p w14:paraId="445319D6" w14:textId="77777777" w:rsidR="00785732" w:rsidRDefault="00785732" w:rsidP="00CE72F5">
      <w:pPr>
        <w:pStyle w:val="Heading2"/>
        <w:spacing w:before="0"/>
        <w:rPr>
          <w:lang w:val="en-GB"/>
        </w:rPr>
      </w:pPr>
    </w:p>
    <w:p w14:paraId="13A48EEB" w14:textId="0948AE4B" w:rsidR="00834CD0" w:rsidRDefault="00466C25" w:rsidP="00CE72F5">
      <w:pPr>
        <w:pStyle w:val="Heading2"/>
        <w:spacing w:before="0"/>
        <w:rPr>
          <w:lang w:val="en-GB"/>
        </w:rPr>
      </w:pPr>
      <w:r w:rsidRPr="00466C25">
        <w:rPr>
          <w:lang w:val="en-GB"/>
        </w:rPr>
        <w:t xml:space="preserve">Overview of findings per </w:t>
      </w:r>
      <w:r w:rsidR="00F05690">
        <w:rPr>
          <w:lang w:val="en-GB"/>
        </w:rPr>
        <w:t>working group</w:t>
      </w:r>
    </w:p>
    <w:p w14:paraId="323B4C55" w14:textId="4346DC38" w:rsidR="0046340D" w:rsidRPr="0046340D" w:rsidRDefault="0046340D" w:rsidP="00CE72F5">
      <w:pPr>
        <w:spacing w:after="0"/>
        <w:rPr>
          <w:lang w:val="en-GB"/>
        </w:rPr>
      </w:pPr>
    </w:p>
    <w:p w14:paraId="76407523" w14:textId="7D511EB3" w:rsidR="00834CD0" w:rsidRDefault="00834CD0" w:rsidP="00CE72F5">
      <w:pPr>
        <w:spacing w:after="0"/>
        <w:rPr>
          <w:b/>
          <w:bCs/>
          <w:color w:val="DD8047" w:themeColor="accent2"/>
          <w:lang w:val="en-GB"/>
        </w:rPr>
      </w:pPr>
      <w:r w:rsidRPr="00834CD0">
        <w:rPr>
          <w:lang w:val="en-GB"/>
        </w:rPr>
        <w:sym w:font="Wingdings" w:char="F0E0"/>
      </w:r>
      <w:r>
        <w:rPr>
          <w:lang w:val="en-GB"/>
        </w:rPr>
        <w:t xml:space="preserve"> </w:t>
      </w:r>
      <w:r w:rsidR="00D265A1" w:rsidRPr="005647A9">
        <w:rPr>
          <w:b/>
          <w:bCs/>
          <w:color w:val="DD8047" w:themeColor="accent2"/>
          <w:lang w:val="en-GB"/>
        </w:rPr>
        <w:t>Gas-fired space heaters</w:t>
      </w:r>
    </w:p>
    <w:p w14:paraId="019820CC" w14:textId="77777777" w:rsidR="006D74EB" w:rsidRDefault="006D74EB" w:rsidP="00CE72F5">
      <w:pPr>
        <w:spacing w:after="0"/>
        <w:rPr>
          <w:b/>
          <w:bCs/>
          <w:color w:val="DD8047" w:themeColor="accent2"/>
          <w:lang w:val="en-GB"/>
        </w:rPr>
      </w:pPr>
    </w:p>
    <w:p w14:paraId="1669B82C" w14:textId="19C3FA8F" w:rsidR="00D65BB3" w:rsidRPr="00B6473C" w:rsidRDefault="006D74EB" w:rsidP="00CE72F5">
      <w:pPr>
        <w:spacing w:after="0"/>
        <w:jc w:val="both"/>
        <w:rPr>
          <w:sz w:val="20"/>
          <w:szCs w:val="20"/>
          <w:lang w:val="en-GB"/>
        </w:rPr>
      </w:pPr>
      <w:r>
        <w:rPr>
          <w:b/>
          <w:bCs/>
          <w:noProof/>
          <w:color w:val="DD8047" w:themeColor="accent2"/>
          <w:lang w:val="en-GB"/>
        </w:rPr>
        <w:drawing>
          <wp:anchor distT="0" distB="0" distL="114300" distR="114300" simplePos="0" relativeHeight="251658242" behindDoc="0" locked="0" layoutInCell="1" allowOverlap="1" wp14:anchorId="4D9F10B0" wp14:editId="1029DC8D">
            <wp:simplePos x="0" y="0"/>
            <wp:positionH relativeFrom="margin">
              <wp:align>left</wp:align>
            </wp:positionH>
            <wp:positionV relativeFrom="paragraph">
              <wp:posOffset>20955</wp:posOffset>
            </wp:positionV>
            <wp:extent cx="596265" cy="826135"/>
            <wp:effectExtent l="0" t="0" r="0"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00" t="26400" r="33400" b="27400"/>
                    <a:stretch/>
                  </pic:blipFill>
                  <pic:spPr bwMode="auto">
                    <a:xfrm flipH="1">
                      <a:off x="0" y="0"/>
                      <a:ext cx="601006" cy="8326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73EC">
        <w:rPr>
          <w:sz w:val="20"/>
          <w:szCs w:val="20"/>
          <w:lang w:val="en-GB"/>
        </w:rPr>
        <w:t>Gas-fired space heaters</w:t>
      </w:r>
      <w:r w:rsidR="00731552" w:rsidRPr="00B6473C">
        <w:rPr>
          <w:sz w:val="20"/>
          <w:szCs w:val="20"/>
          <w:lang w:val="en-GB"/>
        </w:rPr>
        <w:t xml:space="preserve"> are common in the EU – especially in the Western and Northern </w:t>
      </w:r>
      <w:r w:rsidR="006F73EC">
        <w:rPr>
          <w:sz w:val="20"/>
          <w:szCs w:val="20"/>
          <w:lang w:val="en-GB"/>
        </w:rPr>
        <w:t>areas</w:t>
      </w:r>
      <w:r w:rsidR="00731552" w:rsidRPr="00B6473C">
        <w:rPr>
          <w:sz w:val="20"/>
          <w:szCs w:val="20"/>
          <w:lang w:val="en-GB"/>
        </w:rPr>
        <w:t xml:space="preserve">. Generally, </w:t>
      </w:r>
      <w:r w:rsidR="006F73EC">
        <w:rPr>
          <w:sz w:val="20"/>
          <w:szCs w:val="20"/>
          <w:lang w:val="en-GB"/>
        </w:rPr>
        <w:t xml:space="preserve">such </w:t>
      </w:r>
      <w:r w:rsidR="00731552" w:rsidRPr="00B6473C">
        <w:rPr>
          <w:sz w:val="20"/>
          <w:szCs w:val="20"/>
          <w:lang w:val="en-GB"/>
        </w:rPr>
        <w:t xml:space="preserve">appliances present serious hazards such as risks of fire, burns, generation of CO (carbon monoxide), and electric shocks. </w:t>
      </w:r>
      <w:r w:rsidR="009F1A27">
        <w:rPr>
          <w:sz w:val="20"/>
          <w:szCs w:val="20"/>
          <w:lang w:val="en-GB"/>
        </w:rPr>
        <w:t>To ensure</w:t>
      </w:r>
      <w:r w:rsidR="00731552" w:rsidRPr="00B6473C">
        <w:rPr>
          <w:sz w:val="20"/>
          <w:szCs w:val="20"/>
          <w:lang w:val="en-GB"/>
        </w:rPr>
        <w:t xml:space="preserve"> the safety of these products</w:t>
      </w:r>
      <w:r w:rsidR="009F1A27">
        <w:rPr>
          <w:sz w:val="20"/>
          <w:szCs w:val="20"/>
          <w:lang w:val="en-GB"/>
        </w:rPr>
        <w:t>, t</w:t>
      </w:r>
      <w:r w:rsidR="00731552" w:rsidRPr="00B6473C">
        <w:rPr>
          <w:sz w:val="20"/>
          <w:szCs w:val="20"/>
          <w:lang w:val="en-GB"/>
        </w:rPr>
        <w:t>he project group is currently checking the technical documentation for some heaters. Up to now, the participants inspected the technical documentation for </w:t>
      </w:r>
      <w:r w:rsidR="00731552" w:rsidRPr="00B6473C">
        <w:rPr>
          <w:rStyle w:val="Strong"/>
          <w:color w:val="0E101A"/>
          <w:sz w:val="20"/>
          <w:szCs w:val="20"/>
          <w:lang w:val="en-GB"/>
        </w:rPr>
        <w:t>41</w:t>
      </w:r>
      <w:r w:rsidR="00731552" w:rsidRPr="00B6473C">
        <w:rPr>
          <w:sz w:val="20"/>
          <w:szCs w:val="20"/>
          <w:lang w:val="en-GB"/>
        </w:rPr>
        <w:t> products (i.e., declaration of conformity, type approval certificates, and proof for production control), with around </w:t>
      </w:r>
      <w:r w:rsidR="00731552" w:rsidRPr="00A4586D">
        <w:rPr>
          <w:rStyle w:val="Strong"/>
          <w:b w:val="0"/>
          <w:bCs w:val="0"/>
          <w:color w:val="0E101A"/>
          <w:sz w:val="20"/>
          <w:szCs w:val="20"/>
          <w:lang w:val="en-GB"/>
        </w:rPr>
        <w:t>75%</w:t>
      </w:r>
      <w:r w:rsidR="00731552" w:rsidRPr="00B6473C">
        <w:rPr>
          <w:sz w:val="20"/>
          <w:szCs w:val="20"/>
          <w:lang w:val="en-GB"/>
        </w:rPr>
        <w:t xml:space="preserve"> presenting administrative non-compliance. Based on this preliminary </w:t>
      </w:r>
      <w:r w:rsidR="00A4586D">
        <w:rPr>
          <w:sz w:val="20"/>
          <w:szCs w:val="20"/>
          <w:lang w:val="en-GB"/>
        </w:rPr>
        <w:t>screening</w:t>
      </w:r>
      <w:r w:rsidR="00731552" w:rsidRPr="00B6473C">
        <w:rPr>
          <w:sz w:val="20"/>
          <w:szCs w:val="20"/>
          <w:lang w:val="en-GB"/>
        </w:rPr>
        <w:t>, the group identified </w:t>
      </w:r>
      <w:r w:rsidR="00731552" w:rsidRPr="00A4586D">
        <w:rPr>
          <w:rStyle w:val="Strong"/>
          <w:color w:val="548AB7" w:themeColor="accent1" w:themeShade="BF"/>
          <w:sz w:val="20"/>
          <w:szCs w:val="20"/>
          <w:lang w:val="en-GB"/>
        </w:rPr>
        <w:t xml:space="preserve">28 samples </w:t>
      </w:r>
      <w:r w:rsidR="00731552" w:rsidRPr="00A4586D">
        <w:rPr>
          <w:rStyle w:val="Strong"/>
          <w:b w:val="0"/>
          <w:bCs w:val="0"/>
          <w:color w:val="0E101A"/>
          <w:sz w:val="20"/>
          <w:szCs w:val="20"/>
          <w:lang w:val="en-GB"/>
        </w:rPr>
        <w:t xml:space="preserve">to </w:t>
      </w:r>
      <w:r w:rsidR="00E54B41" w:rsidRPr="003E5809">
        <w:rPr>
          <w:sz w:val="20"/>
          <w:szCs w:val="20"/>
          <w:lang w:val="en-GB"/>
        </w:rPr>
        <w:t>send further to an accredited test laboratory</w:t>
      </w:r>
      <w:r w:rsidR="00731552" w:rsidRPr="00B6473C">
        <w:rPr>
          <w:sz w:val="20"/>
          <w:szCs w:val="20"/>
          <w:lang w:val="en-GB"/>
        </w:rPr>
        <w:t xml:space="preserve">. </w:t>
      </w:r>
      <w:r w:rsidR="00A85511" w:rsidRPr="001B15D1">
        <w:rPr>
          <w:sz w:val="20"/>
          <w:szCs w:val="20"/>
          <w:lang w:val="en-GB"/>
        </w:rPr>
        <w:t xml:space="preserve">The laboratory found that </w:t>
      </w:r>
      <w:r w:rsidR="00A85511" w:rsidRPr="00297F6A">
        <w:rPr>
          <w:rStyle w:val="Strong"/>
          <w:color w:val="548AB7" w:themeColor="accent1" w:themeShade="BF"/>
          <w:sz w:val="20"/>
          <w:szCs w:val="20"/>
          <w:lang w:val="en-GB"/>
        </w:rPr>
        <w:t>10 products</w:t>
      </w:r>
      <w:r w:rsidR="00A85511">
        <w:rPr>
          <w:b/>
          <w:bCs/>
          <w:sz w:val="20"/>
          <w:szCs w:val="20"/>
          <w:lang w:val="en-GB"/>
        </w:rPr>
        <w:t xml:space="preserve"> </w:t>
      </w:r>
      <w:r w:rsidR="00A85511" w:rsidRPr="00836CE3">
        <w:rPr>
          <w:sz w:val="20"/>
          <w:szCs w:val="20"/>
          <w:lang w:val="en-GB"/>
        </w:rPr>
        <w:t xml:space="preserve">out of the 13 </w:t>
      </w:r>
      <w:r w:rsidR="008F1016">
        <w:rPr>
          <w:sz w:val="20"/>
          <w:szCs w:val="20"/>
          <w:lang w:val="en-GB"/>
        </w:rPr>
        <w:t xml:space="preserve">products </w:t>
      </w:r>
      <w:r w:rsidR="00A85511" w:rsidRPr="00836CE3">
        <w:rPr>
          <w:sz w:val="20"/>
          <w:szCs w:val="20"/>
          <w:lang w:val="en-GB"/>
        </w:rPr>
        <w:t xml:space="preserve">that have been examined </w:t>
      </w:r>
      <w:r w:rsidR="00A85511" w:rsidRPr="007B4C5D">
        <w:rPr>
          <w:b/>
          <w:bCs/>
          <w:i/>
          <w:iCs/>
          <w:sz w:val="20"/>
          <w:szCs w:val="20"/>
          <w:lang w:val="en-GB"/>
        </w:rPr>
        <w:t>so far</w:t>
      </w:r>
      <w:r w:rsidR="00A85511" w:rsidRPr="007B4C5D">
        <w:rPr>
          <w:sz w:val="20"/>
          <w:szCs w:val="20"/>
          <w:lang w:val="en-GB"/>
        </w:rPr>
        <w:t xml:space="preserve"> present administrative non-compliances</w:t>
      </w:r>
      <w:r w:rsidR="00A85511" w:rsidRPr="001B15D1">
        <w:rPr>
          <w:sz w:val="20"/>
          <w:szCs w:val="20"/>
          <w:lang w:val="en-GB"/>
        </w:rPr>
        <w:t xml:space="preserve"> (e.g., marking errors, errors in the user instructions, etc.), </w:t>
      </w:r>
      <w:r w:rsidR="00A85511">
        <w:rPr>
          <w:sz w:val="20"/>
          <w:szCs w:val="20"/>
          <w:lang w:val="en-GB"/>
        </w:rPr>
        <w:t xml:space="preserve">and </w:t>
      </w:r>
      <w:r w:rsidR="00A85511" w:rsidRPr="003E5809">
        <w:rPr>
          <w:b/>
          <w:bCs/>
          <w:color w:val="355D7E" w:themeColor="accent1" w:themeShade="80"/>
          <w:sz w:val="20"/>
          <w:szCs w:val="20"/>
          <w:lang w:val="en-GB"/>
        </w:rPr>
        <w:t>7</w:t>
      </w:r>
      <w:r w:rsidR="00297F6A">
        <w:rPr>
          <w:b/>
          <w:bCs/>
          <w:color w:val="355D7E" w:themeColor="accent1" w:themeShade="80"/>
          <w:sz w:val="20"/>
          <w:szCs w:val="20"/>
          <w:lang w:val="en-GB"/>
        </w:rPr>
        <w:t xml:space="preserve"> </w:t>
      </w:r>
      <w:r w:rsidR="00654ED9">
        <w:rPr>
          <w:b/>
          <w:bCs/>
          <w:color w:val="355D7E" w:themeColor="accent1" w:themeShade="80"/>
          <w:sz w:val="20"/>
          <w:szCs w:val="20"/>
          <w:lang w:val="en-GB"/>
        </w:rPr>
        <w:t xml:space="preserve">samples </w:t>
      </w:r>
      <w:r w:rsidR="00297F6A" w:rsidRPr="00654ED9">
        <w:rPr>
          <w:sz w:val="20"/>
          <w:szCs w:val="20"/>
          <w:lang w:val="en-GB"/>
        </w:rPr>
        <w:t>out of the 13</w:t>
      </w:r>
      <w:r w:rsidR="00062675">
        <w:rPr>
          <w:sz w:val="20"/>
          <w:szCs w:val="20"/>
          <w:lang w:val="en-GB"/>
        </w:rPr>
        <w:t xml:space="preserve"> checked </w:t>
      </w:r>
      <w:r w:rsidR="00A85511">
        <w:rPr>
          <w:sz w:val="20"/>
          <w:szCs w:val="20"/>
          <w:lang w:val="en-GB"/>
        </w:rPr>
        <w:t xml:space="preserve">pose </w:t>
      </w:r>
      <w:r w:rsidR="00A85511" w:rsidRPr="001B15D1">
        <w:rPr>
          <w:sz w:val="20"/>
          <w:szCs w:val="20"/>
          <w:lang w:val="en-GB"/>
        </w:rPr>
        <w:t>possible technical issues that would make the product</w:t>
      </w:r>
      <w:r w:rsidR="00654ED9">
        <w:rPr>
          <w:sz w:val="20"/>
          <w:szCs w:val="20"/>
          <w:lang w:val="en-GB"/>
        </w:rPr>
        <w:t>s</w:t>
      </w:r>
      <w:r w:rsidR="00A85511" w:rsidRPr="001B15D1">
        <w:rPr>
          <w:sz w:val="20"/>
          <w:szCs w:val="20"/>
          <w:lang w:val="en-GB"/>
        </w:rPr>
        <w:t xml:space="preserve"> unsafe.</w:t>
      </w:r>
      <w:r w:rsidR="00931C4B" w:rsidRPr="00B6473C">
        <w:rPr>
          <w:sz w:val="20"/>
          <w:szCs w:val="20"/>
          <w:lang w:val="en-GB"/>
        </w:rPr>
        <w:t xml:space="preserve"> </w:t>
      </w:r>
    </w:p>
    <w:p w14:paraId="5D5024E5" w14:textId="77777777" w:rsidR="00D66103" w:rsidRDefault="00D66103" w:rsidP="00CE72F5">
      <w:pPr>
        <w:spacing w:after="0"/>
        <w:jc w:val="both"/>
        <w:rPr>
          <w:lang w:val="en-GB"/>
        </w:rPr>
      </w:pPr>
    </w:p>
    <w:p w14:paraId="08BA0875" w14:textId="308159D1" w:rsidR="006D74EB" w:rsidRDefault="007A7B22" w:rsidP="00CE72F5">
      <w:pPr>
        <w:spacing w:after="0"/>
        <w:rPr>
          <w:b/>
          <w:bCs/>
          <w:color w:val="DD8047" w:themeColor="accent2"/>
          <w:lang w:val="en-GB"/>
        </w:rPr>
      </w:pPr>
      <w:r w:rsidRPr="00834CD0">
        <w:rPr>
          <w:lang w:val="en-GB"/>
        </w:rPr>
        <w:sym w:font="Wingdings" w:char="F0E0"/>
      </w:r>
      <w:r w:rsidR="0083274A">
        <w:rPr>
          <w:lang w:val="en-GB"/>
        </w:rPr>
        <w:t xml:space="preserve"> </w:t>
      </w:r>
      <w:r w:rsidR="00D265A1" w:rsidRPr="005647A9">
        <w:rPr>
          <w:b/>
          <w:bCs/>
          <w:color w:val="DD8047" w:themeColor="accent2"/>
          <w:lang w:val="en-GB"/>
        </w:rPr>
        <w:t>Large TPE for the transport of class 2 gases</w:t>
      </w:r>
    </w:p>
    <w:p w14:paraId="444230FC" w14:textId="0AAC861B" w:rsidR="006D74EB" w:rsidRDefault="006D74EB" w:rsidP="00CE72F5">
      <w:pPr>
        <w:spacing w:after="0"/>
        <w:rPr>
          <w:b/>
          <w:bCs/>
          <w:color w:val="DD8047" w:themeColor="accent2"/>
          <w:lang w:val="en-GB"/>
        </w:rPr>
      </w:pPr>
    </w:p>
    <w:p w14:paraId="48BC28ED" w14:textId="1AF9A9C8" w:rsidR="00D66103" w:rsidRPr="007D4609" w:rsidRDefault="006D74EB" w:rsidP="00687342">
      <w:pPr>
        <w:spacing w:after="0"/>
        <w:jc w:val="both"/>
        <w:rPr>
          <w:b/>
          <w:bCs/>
          <w:color w:val="DD8047" w:themeColor="accent2"/>
          <w:sz w:val="20"/>
          <w:szCs w:val="20"/>
          <w:lang w:val="en-GB"/>
        </w:rPr>
      </w:pPr>
      <w:r>
        <w:rPr>
          <w:b/>
          <w:bCs/>
          <w:noProof/>
          <w:color w:val="DD8047" w:themeColor="accent2"/>
          <w:lang w:val="en-GB"/>
        </w:rPr>
        <w:drawing>
          <wp:anchor distT="0" distB="0" distL="114300" distR="114300" simplePos="0" relativeHeight="251658243" behindDoc="0" locked="0" layoutInCell="1" allowOverlap="1" wp14:anchorId="4CF0248F" wp14:editId="7C3E87D9">
            <wp:simplePos x="0" y="0"/>
            <wp:positionH relativeFrom="margin">
              <wp:align>left</wp:align>
            </wp:positionH>
            <wp:positionV relativeFrom="paragraph">
              <wp:posOffset>20955</wp:posOffset>
            </wp:positionV>
            <wp:extent cx="1144270" cy="5562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28800" t="39400" r="27201" b="39200"/>
                    <a:stretch/>
                  </pic:blipFill>
                  <pic:spPr bwMode="auto">
                    <a:xfrm>
                      <a:off x="0" y="0"/>
                      <a:ext cx="1152081" cy="5605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B7D" w:rsidRPr="00B6473C">
        <w:rPr>
          <w:sz w:val="20"/>
          <w:szCs w:val="20"/>
          <w:lang w:val="en-GB"/>
        </w:rPr>
        <w:t xml:space="preserve">This project is a preparatory, capacity building activity, </w:t>
      </w:r>
      <w:r w:rsidR="00D23DA5" w:rsidRPr="00B6473C">
        <w:rPr>
          <w:sz w:val="20"/>
          <w:szCs w:val="20"/>
          <w:lang w:val="en-GB"/>
        </w:rPr>
        <w:t>aimed at</w:t>
      </w:r>
      <w:r w:rsidR="00AD4B7D" w:rsidRPr="00B6473C">
        <w:rPr>
          <w:sz w:val="20"/>
          <w:szCs w:val="20"/>
          <w:lang w:val="en-GB"/>
        </w:rPr>
        <w:t xml:space="preserve"> developing a harmonised approach to market surveillance of large TPE (tanks) for the transport of class 2 gases. If tanks designed for the transport of these gases are exposed to high stresses (e.g., extreme temperatures, road or rail accidents), they may release the toxic or inflammable gases they contain</w:t>
      </w:r>
      <w:r w:rsidR="0075545E">
        <w:rPr>
          <w:sz w:val="20"/>
          <w:szCs w:val="20"/>
          <w:lang w:val="en-GB"/>
        </w:rPr>
        <w:t xml:space="preserve"> – thus representing </w:t>
      </w:r>
      <w:r w:rsidR="00AD4B7D" w:rsidRPr="00B6473C">
        <w:rPr>
          <w:sz w:val="20"/>
          <w:szCs w:val="20"/>
          <w:lang w:val="en-GB"/>
        </w:rPr>
        <w:t xml:space="preserve">serious hazards for the environment </w:t>
      </w:r>
      <w:r w:rsidR="0075545E">
        <w:rPr>
          <w:sz w:val="20"/>
          <w:szCs w:val="20"/>
          <w:lang w:val="en-GB"/>
        </w:rPr>
        <w:t>and all</w:t>
      </w:r>
      <w:r w:rsidR="00AD4B7D" w:rsidRPr="00B6473C">
        <w:rPr>
          <w:sz w:val="20"/>
          <w:szCs w:val="20"/>
          <w:lang w:val="en-GB"/>
        </w:rPr>
        <w:t xml:space="preserve"> vehicles and persons in the vicinity.</w:t>
      </w:r>
      <w:r w:rsidR="00FE090E">
        <w:rPr>
          <w:sz w:val="20"/>
          <w:szCs w:val="20"/>
          <w:lang w:val="en-GB"/>
        </w:rPr>
        <w:t xml:space="preserve"> </w:t>
      </w:r>
      <w:r w:rsidR="00617EF4">
        <w:rPr>
          <w:sz w:val="20"/>
          <w:szCs w:val="20"/>
          <w:lang w:val="en-GB"/>
        </w:rPr>
        <w:t xml:space="preserve">To help improve the market surveillance </w:t>
      </w:r>
      <w:r w:rsidR="00AF72C9">
        <w:rPr>
          <w:sz w:val="20"/>
          <w:szCs w:val="20"/>
          <w:lang w:val="en-GB"/>
        </w:rPr>
        <w:t>for this sector,</w:t>
      </w:r>
      <w:r w:rsidR="00BC73DA">
        <w:rPr>
          <w:sz w:val="20"/>
          <w:szCs w:val="20"/>
          <w:lang w:val="en-GB"/>
        </w:rPr>
        <w:t xml:space="preserve"> the </w:t>
      </w:r>
      <w:r w:rsidR="00AF72C9">
        <w:rPr>
          <w:sz w:val="20"/>
          <w:szCs w:val="20"/>
          <w:lang w:val="en-GB"/>
        </w:rPr>
        <w:t>project</w:t>
      </w:r>
      <w:r w:rsidR="00BC73DA">
        <w:rPr>
          <w:sz w:val="20"/>
          <w:szCs w:val="20"/>
          <w:lang w:val="en-GB"/>
        </w:rPr>
        <w:t xml:space="preserve"> selected a</w:t>
      </w:r>
      <w:r w:rsidR="00AD4B7D" w:rsidRPr="00B6473C">
        <w:rPr>
          <w:sz w:val="20"/>
          <w:szCs w:val="20"/>
          <w:lang w:val="en-GB"/>
        </w:rPr>
        <w:t xml:space="preserve"> </w:t>
      </w:r>
      <w:r w:rsidR="00AD4B7D" w:rsidRPr="00A06EDF">
        <w:rPr>
          <w:b/>
          <w:bCs/>
          <w:color w:val="548AB7" w:themeColor="accent1" w:themeShade="BF"/>
          <w:sz w:val="20"/>
          <w:szCs w:val="20"/>
          <w:lang w:val="en-GB"/>
        </w:rPr>
        <w:t>TPE expert to prepare checklists</w:t>
      </w:r>
      <w:r w:rsidR="007B1785" w:rsidRPr="00A06EDF">
        <w:rPr>
          <w:b/>
          <w:bCs/>
          <w:color w:val="548AB7" w:themeColor="accent1" w:themeShade="BF"/>
          <w:sz w:val="20"/>
          <w:szCs w:val="20"/>
          <w:lang w:val="en-GB"/>
        </w:rPr>
        <w:t xml:space="preserve"> and provide training for inspectors</w:t>
      </w:r>
      <w:r w:rsidR="00AD4B7D" w:rsidRPr="00B6473C">
        <w:rPr>
          <w:sz w:val="20"/>
          <w:szCs w:val="20"/>
          <w:lang w:val="en-GB"/>
        </w:rPr>
        <w:t xml:space="preserve">. </w:t>
      </w:r>
      <w:r w:rsidR="00F41138" w:rsidRPr="00B6473C">
        <w:rPr>
          <w:sz w:val="20"/>
          <w:szCs w:val="20"/>
          <w:lang w:val="en-GB"/>
        </w:rPr>
        <w:t>Training included the</w:t>
      </w:r>
      <w:r w:rsidR="00AD4B7D" w:rsidRPr="00B6473C">
        <w:rPr>
          <w:sz w:val="20"/>
          <w:szCs w:val="20"/>
          <w:lang w:val="en-GB"/>
        </w:rPr>
        <w:t xml:space="preserve"> definition and types of large transportable equipment, applicable legislation</w:t>
      </w:r>
      <w:r w:rsidR="00F41138" w:rsidRPr="00B6473C">
        <w:rPr>
          <w:sz w:val="20"/>
          <w:szCs w:val="20"/>
          <w:lang w:val="en-GB"/>
        </w:rPr>
        <w:t xml:space="preserve">, </w:t>
      </w:r>
      <w:r w:rsidR="00AD4B7D" w:rsidRPr="00B6473C">
        <w:rPr>
          <w:sz w:val="20"/>
          <w:szCs w:val="20"/>
          <w:lang w:val="en-GB"/>
        </w:rPr>
        <w:t>the ADR type-approval procedure and checklists for initial inspection, supervision of manufacture, periodic and intermediate inspection</w:t>
      </w:r>
      <w:r w:rsidR="00752DC1" w:rsidRPr="00B6473C">
        <w:rPr>
          <w:sz w:val="20"/>
          <w:szCs w:val="20"/>
          <w:lang w:val="en-GB"/>
        </w:rPr>
        <w:t>,</w:t>
      </w:r>
      <w:r w:rsidR="00AD4B7D" w:rsidRPr="00B6473C">
        <w:rPr>
          <w:sz w:val="20"/>
          <w:szCs w:val="20"/>
          <w:lang w:val="en-GB"/>
        </w:rPr>
        <w:t xml:space="preserve"> exceptional checks</w:t>
      </w:r>
      <w:r w:rsidR="0019493E" w:rsidRPr="00B6473C">
        <w:rPr>
          <w:sz w:val="20"/>
          <w:szCs w:val="20"/>
          <w:lang w:val="en-GB"/>
        </w:rPr>
        <w:t>, and the requirements of standard EN 12972:2018</w:t>
      </w:r>
      <w:r w:rsidR="00AD4B7D" w:rsidRPr="00B6473C">
        <w:rPr>
          <w:sz w:val="20"/>
          <w:szCs w:val="20"/>
          <w:lang w:val="en-GB"/>
        </w:rPr>
        <w:t>.</w:t>
      </w:r>
      <w:r w:rsidR="00AD4B7D" w:rsidRPr="00B6473C">
        <w:rPr>
          <w:sz w:val="20"/>
          <w:szCs w:val="20"/>
          <w:lang w:val="en-US"/>
        </w:rPr>
        <w:t xml:space="preserve"> </w:t>
      </w:r>
      <w:r w:rsidR="006B2533">
        <w:rPr>
          <w:sz w:val="20"/>
          <w:szCs w:val="20"/>
          <w:lang w:val="en-GB"/>
        </w:rPr>
        <w:t>I</w:t>
      </w:r>
      <w:r w:rsidR="00AD4B7D" w:rsidRPr="00B6473C">
        <w:rPr>
          <w:sz w:val="20"/>
          <w:szCs w:val="20"/>
          <w:lang w:val="en-GB"/>
        </w:rPr>
        <w:t xml:space="preserve">n </w:t>
      </w:r>
      <w:r w:rsidR="004F4A7D">
        <w:rPr>
          <w:sz w:val="20"/>
          <w:szCs w:val="20"/>
          <w:lang w:val="en-GB"/>
        </w:rPr>
        <w:t>end of January</w:t>
      </w:r>
      <w:r w:rsidR="00AD4B7D" w:rsidRPr="00B6473C">
        <w:rPr>
          <w:sz w:val="20"/>
          <w:szCs w:val="20"/>
          <w:lang w:val="en-GB"/>
        </w:rPr>
        <w:t xml:space="preserve"> 2023, </w:t>
      </w:r>
      <w:r w:rsidR="006B2533">
        <w:rPr>
          <w:sz w:val="20"/>
          <w:szCs w:val="20"/>
          <w:lang w:val="en-GB"/>
        </w:rPr>
        <w:t xml:space="preserve">the </w:t>
      </w:r>
      <w:r w:rsidR="003871FD">
        <w:rPr>
          <w:sz w:val="20"/>
          <w:szCs w:val="20"/>
          <w:lang w:val="en-GB"/>
        </w:rPr>
        <w:t xml:space="preserve">group will arrange </w:t>
      </w:r>
      <w:r w:rsidR="00AD4B7D" w:rsidRPr="00B6473C">
        <w:rPr>
          <w:sz w:val="20"/>
          <w:szCs w:val="20"/>
          <w:lang w:val="en-GB"/>
        </w:rPr>
        <w:t xml:space="preserve">a </w:t>
      </w:r>
      <w:r w:rsidR="00AD4B7D" w:rsidRPr="00A06EDF">
        <w:rPr>
          <w:b/>
          <w:bCs/>
          <w:color w:val="548AB7" w:themeColor="accent1" w:themeShade="BF"/>
          <w:sz w:val="20"/>
          <w:szCs w:val="20"/>
          <w:lang w:val="en-GB"/>
        </w:rPr>
        <w:t xml:space="preserve">study visit </w:t>
      </w:r>
      <w:r w:rsidR="00EE58B6" w:rsidRPr="00A06EDF">
        <w:rPr>
          <w:b/>
          <w:bCs/>
          <w:color w:val="548AB7" w:themeColor="accent1" w:themeShade="BF"/>
          <w:sz w:val="20"/>
          <w:szCs w:val="20"/>
          <w:lang w:val="en-GB"/>
        </w:rPr>
        <w:t>in</w:t>
      </w:r>
      <w:r w:rsidR="00AD4B7D" w:rsidRPr="00A06EDF">
        <w:rPr>
          <w:b/>
          <w:bCs/>
          <w:color w:val="548AB7" w:themeColor="accent1" w:themeShade="BF"/>
          <w:sz w:val="20"/>
          <w:szCs w:val="20"/>
          <w:lang w:val="en-GB"/>
        </w:rPr>
        <w:t xml:space="preserve"> Slovenia</w:t>
      </w:r>
      <w:r w:rsidR="00AD4B7D" w:rsidRPr="00B6473C">
        <w:rPr>
          <w:sz w:val="20"/>
          <w:szCs w:val="20"/>
          <w:lang w:val="en-GB"/>
        </w:rPr>
        <w:t xml:space="preserve">, </w:t>
      </w:r>
      <w:r w:rsidR="00EE58B6">
        <w:rPr>
          <w:sz w:val="20"/>
          <w:szCs w:val="20"/>
          <w:lang w:val="en-GB"/>
        </w:rPr>
        <w:t xml:space="preserve">i.e., </w:t>
      </w:r>
      <w:r w:rsidR="00AD4B7D" w:rsidRPr="00B6473C">
        <w:rPr>
          <w:sz w:val="20"/>
          <w:szCs w:val="20"/>
          <w:lang w:val="en-GB"/>
        </w:rPr>
        <w:t>a visit to a manufacturer of road tankers to examine aspects of manufacture and inspection of the equipment, with a view to developing guides to visual checks</w:t>
      </w:r>
      <w:r w:rsidR="00C213DC" w:rsidRPr="00B6473C">
        <w:rPr>
          <w:sz w:val="20"/>
          <w:szCs w:val="20"/>
          <w:lang w:val="en-GB"/>
        </w:rPr>
        <w:t>.</w:t>
      </w:r>
      <w:r w:rsidR="00C213DC">
        <w:rPr>
          <w:lang w:val="en-GB"/>
        </w:rPr>
        <w:t xml:space="preserve"> </w:t>
      </w:r>
    </w:p>
    <w:p w14:paraId="4F1AF93F" w14:textId="77777777" w:rsidR="000F08D5" w:rsidRDefault="000F08D5" w:rsidP="00CE72F5">
      <w:pPr>
        <w:spacing w:after="0"/>
        <w:jc w:val="both"/>
        <w:rPr>
          <w:lang w:val="en-GB"/>
        </w:rPr>
      </w:pPr>
    </w:p>
    <w:p w14:paraId="28FC7D00" w14:textId="20923761" w:rsidR="007A7B22" w:rsidRDefault="007A7B22" w:rsidP="00CE72F5">
      <w:pPr>
        <w:spacing w:after="0"/>
        <w:rPr>
          <w:b/>
          <w:bCs/>
          <w:color w:val="DD8047" w:themeColor="accent2"/>
          <w:lang w:val="en-GB"/>
        </w:rPr>
      </w:pPr>
      <w:r w:rsidRPr="00834CD0">
        <w:rPr>
          <w:lang w:val="en-GB"/>
        </w:rPr>
        <w:sym w:font="Wingdings" w:char="F0E0"/>
      </w:r>
      <w:r w:rsidR="0046340D">
        <w:rPr>
          <w:lang w:val="en-GB"/>
        </w:rPr>
        <w:t xml:space="preserve"> </w:t>
      </w:r>
      <w:r w:rsidR="008454ED" w:rsidRPr="005647A9">
        <w:rPr>
          <w:b/>
          <w:bCs/>
          <w:color w:val="DD8047" w:themeColor="accent2"/>
          <w:lang w:val="en-GB"/>
        </w:rPr>
        <w:t>USB Chargers</w:t>
      </w:r>
    </w:p>
    <w:p w14:paraId="289A2E4D" w14:textId="77777777" w:rsidR="006D74EB" w:rsidRPr="005647A9" w:rsidRDefault="006D74EB" w:rsidP="00CE72F5">
      <w:pPr>
        <w:spacing w:after="0"/>
        <w:rPr>
          <w:lang w:val="en-GB"/>
        </w:rPr>
      </w:pPr>
    </w:p>
    <w:p w14:paraId="60700F7A" w14:textId="2145BA88" w:rsidR="005C5AE1" w:rsidRPr="00B6473C" w:rsidRDefault="00B6473C" w:rsidP="00CE72F5">
      <w:pPr>
        <w:spacing w:after="0"/>
        <w:jc w:val="both"/>
        <w:rPr>
          <w:sz w:val="20"/>
          <w:szCs w:val="20"/>
          <w:lang w:val="en-GB"/>
        </w:rPr>
      </w:pPr>
      <w:r w:rsidRPr="00B6473C">
        <w:rPr>
          <w:noProof/>
          <w:sz w:val="20"/>
          <w:szCs w:val="20"/>
          <w:lang w:val="en-GB"/>
        </w:rPr>
        <w:drawing>
          <wp:anchor distT="0" distB="0" distL="114300" distR="114300" simplePos="0" relativeHeight="251658244" behindDoc="0" locked="0" layoutInCell="1" allowOverlap="1" wp14:anchorId="399383A7" wp14:editId="0A1FD25F">
            <wp:simplePos x="0" y="0"/>
            <wp:positionH relativeFrom="margin">
              <wp:posOffset>27940</wp:posOffset>
            </wp:positionH>
            <wp:positionV relativeFrom="paragraph">
              <wp:posOffset>76835</wp:posOffset>
            </wp:positionV>
            <wp:extent cx="742950" cy="818515"/>
            <wp:effectExtent l="0" t="0" r="0" b="635"/>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200" t="27800" r="27800" b="27400"/>
                    <a:stretch/>
                  </pic:blipFill>
                  <pic:spPr bwMode="auto">
                    <a:xfrm>
                      <a:off x="0" y="0"/>
                      <a:ext cx="742950"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009B" w:rsidRPr="00B6473C">
        <w:rPr>
          <w:sz w:val="20"/>
          <w:szCs w:val="20"/>
          <w:lang w:val="en-GB"/>
        </w:rPr>
        <w:t xml:space="preserve">The initial </w:t>
      </w:r>
      <w:r w:rsidR="008B56D0">
        <w:rPr>
          <w:sz w:val="20"/>
          <w:szCs w:val="20"/>
          <w:lang w:val="en-GB"/>
        </w:rPr>
        <w:t xml:space="preserve">risk analysis </w:t>
      </w:r>
      <w:r w:rsidR="0085009B" w:rsidRPr="00B6473C">
        <w:rPr>
          <w:sz w:val="20"/>
          <w:szCs w:val="20"/>
          <w:lang w:val="en-GB"/>
        </w:rPr>
        <w:t xml:space="preserve">revealed that 96 EU Safety Gate Alerts </w:t>
      </w:r>
      <w:r w:rsidR="00893A8F">
        <w:rPr>
          <w:sz w:val="20"/>
          <w:szCs w:val="20"/>
          <w:lang w:val="en-GB"/>
        </w:rPr>
        <w:t xml:space="preserve">issued since 2015 </w:t>
      </w:r>
      <w:r w:rsidR="00BF7371">
        <w:rPr>
          <w:sz w:val="20"/>
          <w:szCs w:val="20"/>
          <w:lang w:val="en-GB"/>
        </w:rPr>
        <w:t>expos</w:t>
      </w:r>
      <w:r w:rsidR="00893A8F">
        <w:rPr>
          <w:sz w:val="20"/>
          <w:szCs w:val="20"/>
          <w:lang w:val="en-GB"/>
        </w:rPr>
        <w:t>ing</w:t>
      </w:r>
      <w:r w:rsidR="00BF7371">
        <w:rPr>
          <w:sz w:val="20"/>
          <w:szCs w:val="20"/>
          <w:lang w:val="en-GB"/>
        </w:rPr>
        <w:t xml:space="preserve"> risks of e</w:t>
      </w:r>
      <w:r w:rsidR="0085009B" w:rsidRPr="00B6473C">
        <w:rPr>
          <w:sz w:val="20"/>
          <w:szCs w:val="20"/>
          <w:lang w:val="en-GB"/>
        </w:rPr>
        <w:t xml:space="preserve">lectric shock, fire and burn hazards are associated with direct plug-in USB chargers. Users frequently charge electronic devices overnight with an increased risk of the connected device and the charger overheating. The project group intends to </w:t>
      </w:r>
      <w:r w:rsidR="0056225E" w:rsidRPr="00B6473C">
        <w:rPr>
          <w:sz w:val="20"/>
          <w:szCs w:val="20"/>
          <w:lang w:val="en-GB"/>
        </w:rPr>
        <w:t>raise</w:t>
      </w:r>
      <w:r w:rsidR="0085009B" w:rsidRPr="00B6473C">
        <w:rPr>
          <w:sz w:val="20"/>
          <w:szCs w:val="20"/>
          <w:lang w:val="en-GB"/>
        </w:rPr>
        <w:t xml:space="preserve"> the overall safety level of </w:t>
      </w:r>
      <w:r w:rsidR="001D1B42">
        <w:rPr>
          <w:sz w:val="20"/>
          <w:szCs w:val="20"/>
          <w:lang w:val="en-GB"/>
        </w:rPr>
        <w:t>these products</w:t>
      </w:r>
      <w:r w:rsidR="00586AA3">
        <w:rPr>
          <w:sz w:val="20"/>
          <w:szCs w:val="20"/>
          <w:lang w:val="en-GB"/>
        </w:rPr>
        <w:t xml:space="preserve"> and selected</w:t>
      </w:r>
      <w:r w:rsidR="0085009B" w:rsidRPr="00B6473C">
        <w:rPr>
          <w:sz w:val="20"/>
          <w:szCs w:val="20"/>
          <w:lang w:val="en-GB"/>
        </w:rPr>
        <w:t xml:space="preserve"> </w:t>
      </w:r>
      <w:r w:rsidR="0085009B" w:rsidRPr="003A171D">
        <w:rPr>
          <w:b/>
          <w:bCs/>
          <w:color w:val="548AB7" w:themeColor="accent1" w:themeShade="BF"/>
          <w:sz w:val="20"/>
          <w:szCs w:val="20"/>
          <w:lang w:val="en-GB"/>
        </w:rPr>
        <w:t>120 USB</w:t>
      </w:r>
      <w:r w:rsidR="0085009B" w:rsidRPr="00940866">
        <w:rPr>
          <w:b/>
          <w:bCs/>
          <w:color w:val="548AB7" w:themeColor="accent1" w:themeShade="BF"/>
          <w:sz w:val="20"/>
          <w:szCs w:val="20"/>
          <w:lang w:val="en-GB"/>
        </w:rPr>
        <w:t xml:space="preserve"> charger</w:t>
      </w:r>
      <w:r w:rsidR="00940866">
        <w:rPr>
          <w:b/>
          <w:bCs/>
          <w:color w:val="548AB7" w:themeColor="accent1" w:themeShade="BF"/>
          <w:sz w:val="20"/>
          <w:szCs w:val="20"/>
          <w:lang w:val="en-GB"/>
        </w:rPr>
        <w:t>s</w:t>
      </w:r>
      <w:r w:rsidR="0085009B" w:rsidRPr="00B6473C">
        <w:rPr>
          <w:sz w:val="20"/>
          <w:szCs w:val="20"/>
          <w:lang w:val="en-GB"/>
        </w:rPr>
        <w:t xml:space="preserve"> </w:t>
      </w:r>
      <w:r w:rsidR="001D1B42">
        <w:rPr>
          <w:sz w:val="20"/>
          <w:szCs w:val="20"/>
          <w:lang w:val="en-GB"/>
        </w:rPr>
        <w:t>for t</w:t>
      </w:r>
      <w:r w:rsidR="003A171D">
        <w:rPr>
          <w:sz w:val="20"/>
          <w:szCs w:val="20"/>
          <w:lang w:val="en-GB"/>
        </w:rPr>
        <w:t>esting</w:t>
      </w:r>
      <w:r w:rsidR="0085009B" w:rsidRPr="00B6473C">
        <w:rPr>
          <w:sz w:val="20"/>
          <w:szCs w:val="20"/>
          <w:lang w:val="en-GB"/>
        </w:rPr>
        <w:t xml:space="preserve">. The contracted testing laboratory will provide regular testing status updates. Product testing </w:t>
      </w:r>
      <w:r w:rsidR="00D36FCD" w:rsidRPr="00B6473C">
        <w:rPr>
          <w:sz w:val="20"/>
          <w:szCs w:val="20"/>
          <w:lang w:val="en-GB"/>
        </w:rPr>
        <w:t>is</w:t>
      </w:r>
      <w:r w:rsidR="0085009B" w:rsidRPr="00B6473C">
        <w:rPr>
          <w:sz w:val="20"/>
          <w:szCs w:val="20"/>
          <w:lang w:val="en-GB"/>
        </w:rPr>
        <w:t xml:space="preserve"> expected to end in March 2023. In parallel with the testing activity, the </w:t>
      </w:r>
      <w:r w:rsidR="002A40BD" w:rsidRPr="00B6473C">
        <w:rPr>
          <w:sz w:val="20"/>
          <w:szCs w:val="20"/>
          <w:lang w:val="en-GB"/>
        </w:rPr>
        <w:t>MSAs</w:t>
      </w:r>
      <w:r w:rsidR="0085009B" w:rsidRPr="00B6473C">
        <w:rPr>
          <w:sz w:val="20"/>
          <w:szCs w:val="20"/>
          <w:lang w:val="en-GB"/>
        </w:rPr>
        <w:t xml:space="preserve"> are completing product checklists and reviewing technical documentation</w:t>
      </w:r>
      <w:r w:rsidR="003A171D">
        <w:rPr>
          <w:sz w:val="20"/>
          <w:szCs w:val="20"/>
          <w:lang w:val="en-GB"/>
        </w:rPr>
        <w:t>,</w:t>
      </w:r>
      <w:r w:rsidR="0085009B" w:rsidRPr="00B6473C">
        <w:rPr>
          <w:sz w:val="20"/>
          <w:szCs w:val="20"/>
          <w:lang w:val="en-GB"/>
        </w:rPr>
        <w:t xml:space="preserve"> including the EU Declaration of Conformity and test reports where applicable. The evaluation requirements are based on conformity assessment </w:t>
      </w:r>
      <w:r w:rsidR="006D5331" w:rsidRPr="00B6473C">
        <w:rPr>
          <w:sz w:val="20"/>
          <w:szCs w:val="20"/>
          <w:lang w:val="en-GB"/>
        </w:rPr>
        <w:t>provisions</w:t>
      </w:r>
      <w:r w:rsidR="0085009B" w:rsidRPr="00B6473C">
        <w:rPr>
          <w:sz w:val="20"/>
          <w:szCs w:val="20"/>
          <w:lang w:val="en-GB"/>
        </w:rPr>
        <w:t xml:space="preserve"> </w:t>
      </w:r>
      <w:r w:rsidR="000E0183">
        <w:rPr>
          <w:sz w:val="20"/>
          <w:szCs w:val="20"/>
          <w:lang w:val="en-GB"/>
        </w:rPr>
        <w:t>of</w:t>
      </w:r>
      <w:r w:rsidR="0085009B" w:rsidRPr="00B6473C">
        <w:rPr>
          <w:sz w:val="20"/>
          <w:szCs w:val="20"/>
          <w:lang w:val="en-GB"/>
        </w:rPr>
        <w:t xml:space="preserve"> the EU Low Voltage Directive 2014/35/EU. </w:t>
      </w:r>
    </w:p>
    <w:p w14:paraId="0F72F625" w14:textId="77777777" w:rsidR="00654352" w:rsidRDefault="00654352" w:rsidP="00CE72F5">
      <w:pPr>
        <w:pStyle w:val="Heading2"/>
        <w:spacing w:before="0"/>
        <w:rPr>
          <w:lang w:val="en-GB"/>
        </w:rPr>
      </w:pPr>
    </w:p>
    <w:p w14:paraId="208012DE" w14:textId="77777777" w:rsidR="007C0442" w:rsidRDefault="007C0442" w:rsidP="00CE72F5">
      <w:pPr>
        <w:pStyle w:val="Heading2"/>
        <w:spacing w:before="0"/>
        <w:rPr>
          <w:lang w:val="en-GB"/>
        </w:rPr>
      </w:pPr>
      <w:r>
        <w:rPr>
          <w:lang w:val="en-GB"/>
        </w:rPr>
        <w:t>Communication and Outreach</w:t>
      </w:r>
    </w:p>
    <w:p w14:paraId="0FF86B2A" w14:textId="77777777" w:rsidR="00D66103" w:rsidRPr="00D66103" w:rsidRDefault="00D66103" w:rsidP="00CE72F5">
      <w:pPr>
        <w:spacing w:after="0"/>
        <w:rPr>
          <w:lang w:val="en-GB"/>
        </w:rPr>
      </w:pPr>
    </w:p>
    <w:p w14:paraId="6D14AFF9" w14:textId="22B5C43E" w:rsidR="005C5AE1" w:rsidRDefault="002114EE" w:rsidP="00CE72F5">
      <w:pPr>
        <w:spacing w:after="0"/>
        <w:jc w:val="both"/>
        <w:rPr>
          <w:sz w:val="20"/>
          <w:szCs w:val="20"/>
          <w:lang w:val="en-GB"/>
        </w:rPr>
      </w:pPr>
      <w:r w:rsidRPr="001B15D1">
        <w:rPr>
          <w:sz w:val="20"/>
          <w:szCs w:val="20"/>
          <w:lang w:val="en-GB"/>
        </w:rPr>
        <w:t xml:space="preserve">PROSAFE’s web portal </w:t>
      </w:r>
      <w:hyperlink r:id="rId16" w:history="1">
        <w:r w:rsidRPr="001B15D1">
          <w:rPr>
            <w:rStyle w:val="Hyperlink"/>
            <w:sz w:val="20"/>
            <w:szCs w:val="20"/>
            <w:lang w:val="en-GB"/>
          </w:rPr>
          <w:t>www.prosafe.org</w:t>
        </w:r>
      </w:hyperlink>
      <w:r w:rsidRPr="001B15D1">
        <w:rPr>
          <w:sz w:val="20"/>
          <w:szCs w:val="20"/>
          <w:lang w:val="en-GB"/>
        </w:rPr>
        <w:t xml:space="preserve"> and social media (</w:t>
      </w:r>
      <w:hyperlink r:id="rId17" w:history="1">
        <w:r w:rsidRPr="001B15D1">
          <w:rPr>
            <w:rStyle w:val="Hyperlink"/>
            <w:sz w:val="20"/>
            <w:szCs w:val="20"/>
            <w:lang w:val="en-GB"/>
          </w:rPr>
          <w:t>Twitter</w:t>
        </w:r>
      </w:hyperlink>
      <w:r w:rsidRPr="001B15D1">
        <w:rPr>
          <w:sz w:val="20"/>
          <w:szCs w:val="20"/>
          <w:lang w:val="en-GB"/>
        </w:rPr>
        <w:t xml:space="preserve"> and </w:t>
      </w:r>
      <w:hyperlink r:id="rId18" w:history="1">
        <w:r w:rsidRPr="001B15D1">
          <w:rPr>
            <w:rStyle w:val="Hyperlink"/>
            <w:sz w:val="20"/>
            <w:szCs w:val="20"/>
            <w:lang w:val="en-GB"/>
          </w:rPr>
          <w:t>LinkedIn</w:t>
        </w:r>
      </w:hyperlink>
      <w:r w:rsidRPr="001B15D1">
        <w:rPr>
          <w:sz w:val="20"/>
          <w:szCs w:val="20"/>
          <w:lang w:val="en-GB"/>
        </w:rPr>
        <w:t xml:space="preserve">) </w:t>
      </w:r>
      <w:r>
        <w:rPr>
          <w:sz w:val="20"/>
          <w:szCs w:val="20"/>
          <w:lang w:val="en-GB"/>
        </w:rPr>
        <w:t>keep</w:t>
      </w:r>
      <w:r w:rsidRPr="001B15D1">
        <w:rPr>
          <w:sz w:val="20"/>
          <w:szCs w:val="20"/>
          <w:lang w:val="en-GB"/>
        </w:rPr>
        <w:t xml:space="preserve"> the target audiences </w:t>
      </w:r>
      <w:r>
        <w:rPr>
          <w:sz w:val="20"/>
          <w:szCs w:val="20"/>
          <w:lang w:val="en-GB"/>
        </w:rPr>
        <w:t xml:space="preserve">regularly updated </w:t>
      </w:r>
      <w:r w:rsidRPr="001B15D1">
        <w:rPr>
          <w:sz w:val="20"/>
          <w:szCs w:val="20"/>
          <w:lang w:val="en-GB"/>
        </w:rPr>
        <w:t>with news on the project progress thanks to effective communication complemented by infographics and visuals.</w:t>
      </w:r>
      <w:r w:rsidRPr="005C5242">
        <w:rPr>
          <w:sz w:val="20"/>
          <w:szCs w:val="20"/>
          <w:lang w:val="en-GB"/>
        </w:rPr>
        <w:t xml:space="preserve"> </w:t>
      </w:r>
      <w:r w:rsidR="007C0442" w:rsidRPr="00B6473C">
        <w:rPr>
          <w:sz w:val="20"/>
          <w:szCs w:val="20"/>
          <w:lang w:val="en-GB"/>
        </w:rPr>
        <w:t xml:space="preserve">The status of the activities </w:t>
      </w:r>
      <w:r w:rsidR="003A093C" w:rsidRPr="00B6473C">
        <w:rPr>
          <w:sz w:val="20"/>
          <w:szCs w:val="20"/>
          <w:lang w:val="en-GB"/>
        </w:rPr>
        <w:t>was</w:t>
      </w:r>
      <w:r w:rsidR="007C0442" w:rsidRPr="00B6473C">
        <w:rPr>
          <w:sz w:val="20"/>
          <w:szCs w:val="20"/>
          <w:lang w:val="en-GB"/>
        </w:rPr>
        <w:t xml:space="preserve"> also communicated in other forms, e.g., presentations at the TPED AdCo group on 10 June 2021, at the LVD AdCo Group on 16 November 2021, at the </w:t>
      </w:r>
      <w:r w:rsidR="00FE456E" w:rsidRPr="00B6473C">
        <w:rPr>
          <w:sz w:val="20"/>
          <w:szCs w:val="20"/>
          <w:lang w:val="en-GB"/>
        </w:rPr>
        <w:t>GA</w:t>
      </w:r>
      <w:r w:rsidR="007C0442" w:rsidRPr="00B6473C">
        <w:rPr>
          <w:sz w:val="20"/>
          <w:szCs w:val="20"/>
          <w:lang w:val="en-GB"/>
        </w:rPr>
        <w:t xml:space="preserve"> AdCo group</w:t>
      </w:r>
      <w:r w:rsidR="008A6255" w:rsidRPr="00B6473C">
        <w:rPr>
          <w:sz w:val="20"/>
          <w:szCs w:val="20"/>
          <w:lang w:val="en-GB"/>
        </w:rPr>
        <w:t xml:space="preserve"> meetings</w:t>
      </w:r>
      <w:r w:rsidR="007C0442" w:rsidRPr="00B6473C">
        <w:rPr>
          <w:sz w:val="20"/>
          <w:szCs w:val="20"/>
          <w:lang w:val="en-GB"/>
        </w:rPr>
        <w:t xml:space="preserve"> on</w:t>
      </w:r>
      <w:r w:rsidR="008A6255" w:rsidRPr="00B6473C">
        <w:rPr>
          <w:sz w:val="20"/>
          <w:szCs w:val="20"/>
          <w:lang w:val="en-GB"/>
        </w:rPr>
        <w:t xml:space="preserve"> 21 April 2021 and</w:t>
      </w:r>
      <w:r w:rsidR="007C0442" w:rsidRPr="00B6473C">
        <w:rPr>
          <w:sz w:val="20"/>
          <w:szCs w:val="20"/>
          <w:lang w:val="en-GB"/>
        </w:rPr>
        <w:t xml:space="preserve"> </w:t>
      </w:r>
      <w:r w:rsidR="002D75DF" w:rsidRPr="00B6473C">
        <w:rPr>
          <w:sz w:val="20"/>
          <w:szCs w:val="20"/>
          <w:lang w:val="en-GB"/>
        </w:rPr>
        <w:t>15 June</w:t>
      </w:r>
      <w:r w:rsidR="007C0442" w:rsidRPr="00B6473C">
        <w:rPr>
          <w:sz w:val="20"/>
          <w:szCs w:val="20"/>
          <w:lang w:val="en-GB"/>
        </w:rPr>
        <w:t xml:space="preserve"> 202</w:t>
      </w:r>
      <w:r w:rsidR="002D75DF" w:rsidRPr="00B6473C">
        <w:rPr>
          <w:sz w:val="20"/>
          <w:szCs w:val="20"/>
          <w:lang w:val="en-GB"/>
        </w:rPr>
        <w:t>2</w:t>
      </w:r>
      <w:r w:rsidR="007C0442" w:rsidRPr="00B6473C">
        <w:rPr>
          <w:sz w:val="20"/>
          <w:szCs w:val="20"/>
          <w:lang w:val="en-GB"/>
        </w:rPr>
        <w:t>, and at the PROSAFE General Assembly organised on 31 May 2022.</w:t>
      </w:r>
    </w:p>
    <w:p w14:paraId="002A68B0" w14:textId="77777777" w:rsidR="002114EE" w:rsidRPr="00B6473C" w:rsidRDefault="002114EE" w:rsidP="00CE72F5">
      <w:pPr>
        <w:spacing w:after="0"/>
        <w:jc w:val="both"/>
        <w:rPr>
          <w:sz w:val="20"/>
          <w:szCs w:val="20"/>
          <w:lang w:val="en-GB"/>
        </w:rPr>
      </w:pPr>
    </w:p>
    <w:p w14:paraId="0FE8B08C" w14:textId="77777777" w:rsidR="005638CE" w:rsidRPr="009E7748" w:rsidRDefault="005638CE" w:rsidP="00CE72F5">
      <w:pPr>
        <w:spacing w:after="0"/>
        <w:jc w:val="both"/>
        <w:rPr>
          <w:b/>
          <w:bCs/>
          <w:color w:val="568278" w:themeColor="accent5" w:themeShade="BF"/>
          <w:sz w:val="18"/>
          <w:szCs w:val="18"/>
          <w:lang w:val="en-GB"/>
        </w:rPr>
      </w:pPr>
      <w:r w:rsidRPr="009E7748">
        <w:rPr>
          <w:b/>
          <w:bCs/>
          <w:color w:val="568278" w:themeColor="accent5" w:themeShade="BF"/>
          <w:sz w:val="18"/>
          <w:szCs w:val="18"/>
          <w:lang w:val="en-GB"/>
        </w:rPr>
        <w:t xml:space="preserve">Contact us: </w:t>
      </w:r>
    </w:p>
    <w:p w14:paraId="26E2976A" w14:textId="77777777" w:rsidR="005C5AE1" w:rsidRDefault="005638CE" w:rsidP="00CE72F5">
      <w:pPr>
        <w:spacing w:after="0"/>
        <w:rPr>
          <w:sz w:val="18"/>
          <w:szCs w:val="18"/>
          <w:lang w:val="en-GB"/>
        </w:rPr>
      </w:pPr>
      <w:r w:rsidRPr="009E7748">
        <w:rPr>
          <w:b/>
          <w:bCs/>
          <w:sz w:val="18"/>
          <w:szCs w:val="18"/>
          <w:lang w:val="en-GB"/>
        </w:rPr>
        <w:t>Ioana Sandu</w:t>
      </w:r>
      <w:r w:rsidRPr="009E7748">
        <w:rPr>
          <w:sz w:val="18"/>
          <w:szCs w:val="18"/>
          <w:lang w:val="en-GB"/>
        </w:rPr>
        <w:t xml:space="preserve">, Executive Director, </w:t>
      </w:r>
      <w:r w:rsidRPr="009E7748">
        <w:rPr>
          <w:b/>
          <w:bCs/>
          <w:sz w:val="18"/>
          <w:szCs w:val="18"/>
          <w:lang w:val="en-GB"/>
        </w:rPr>
        <w:t xml:space="preserve">PROSAFE Office, </w:t>
      </w:r>
      <w:r w:rsidRPr="009E7748">
        <w:rPr>
          <w:sz w:val="18"/>
          <w:szCs w:val="18"/>
          <w:lang w:val="en-GB"/>
        </w:rPr>
        <w:t>Avenue des Arts/Kunstlaan 41, B-1040 Brussels, Belgium Tel: +32 2 8080 996</w:t>
      </w:r>
      <w:r>
        <w:rPr>
          <w:sz w:val="18"/>
          <w:szCs w:val="18"/>
          <w:lang w:val="en-GB"/>
        </w:rPr>
        <w:t xml:space="preserve">, </w:t>
      </w:r>
      <w:hyperlink r:id="rId19" w:history="1">
        <w:r w:rsidRPr="009E7748">
          <w:rPr>
            <w:rStyle w:val="Hyperlink"/>
            <w:sz w:val="18"/>
            <w:szCs w:val="18"/>
            <w:lang w:val="en-GB"/>
          </w:rPr>
          <w:t>info@prosafe.org</w:t>
        </w:r>
      </w:hyperlink>
      <w:r w:rsidRPr="009E7748">
        <w:rPr>
          <w:sz w:val="18"/>
          <w:szCs w:val="18"/>
          <w:lang w:val="en-GB"/>
        </w:rPr>
        <w:t xml:space="preserve"> / </w:t>
      </w:r>
      <w:hyperlink r:id="rId20" w:history="1">
        <w:r w:rsidRPr="009E7748">
          <w:rPr>
            <w:rStyle w:val="Hyperlink"/>
            <w:sz w:val="18"/>
            <w:szCs w:val="18"/>
            <w:lang w:val="en-GB"/>
          </w:rPr>
          <w:t>www.prosafe.org</w:t>
        </w:r>
      </w:hyperlink>
      <w:r w:rsidRPr="009E7748">
        <w:rPr>
          <w:sz w:val="18"/>
          <w:szCs w:val="18"/>
          <w:lang w:val="en-GB"/>
        </w:rPr>
        <w:t>, @PROSAFE_ORG</w:t>
      </w:r>
    </w:p>
    <w:p w14:paraId="63BE938F" w14:textId="77777777" w:rsidR="00790F7B" w:rsidRDefault="00790F7B" w:rsidP="00CE72F5">
      <w:pPr>
        <w:spacing w:after="0"/>
        <w:rPr>
          <w:sz w:val="18"/>
          <w:szCs w:val="18"/>
          <w:lang w:val="en-GB"/>
        </w:rPr>
      </w:pPr>
    </w:p>
    <w:p w14:paraId="5CB2A635" w14:textId="11CD884E" w:rsidR="00790F7B" w:rsidRPr="005638CE" w:rsidRDefault="00790F7B" w:rsidP="00CE72F5">
      <w:pPr>
        <w:spacing w:after="0"/>
        <w:rPr>
          <w:b/>
          <w:bCs/>
          <w:color w:val="568278" w:themeColor="accent5" w:themeShade="BF"/>
          <w:sz w:val="16"/>
          <w:szCs w:val="16"/>
          <w:lang w:val="en-GB"/>
        </w:rPr>
      </w:pPr>
    </w:p>
    <w:sectPr w:rsidR="00790F7B" w:rsidRPr="005638CE" w:rsidSect="00785732">
      <w:headerReference w:type="default" r:id="rId21"/>
      <w:footerReference w:type="default" r:id="rId22"/>
      <w:headerReference w:type="first" r:id="rId23"/>
      <w:footerReference w:type="first" r:id="rId24"/>
      <w:pgSz w:w="11906" w:h="16838"/>
      <w:pgMar w:top="1134" w:right="964" w:bottom="1134" w:left="96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DCD8" w14:textId="77777777" w:rsidR="00D15B25" w:rsidRDefault="00D15B25" w:rsidP="00091559">
      <w:pPr>
        <w:spacing w:after="0" w:line="240" w:lineRule="auto"/>
      </w:pPr>
      <w:r>
        <w:separator/>
      </w:r>
    </w:p>
  </w:endnote>
  <w:endnote w:type="continuationSeparator" w:id="0">
    <w:p w14:paraId="0D4C73E5" w14:textId="77777777" w:rsidR="00D15B25" w:rsidRDefault="00D15B25" w:rsidP="00091559">
      <w:pPr>
        <w:spacing w:after="0" w:line="240" w:lineRule="auto"/>
      </w:pPr>
      <w:r>
        <w:continuationSeparator/>
      </w:r>
    </w:p>
  </w:endnote>
  <w:endnote w:type="continuationNotice" w:id="1">
    <w:p w14:paraId="26D9B89C" w14:textId="77777777" w:rsidR="00D15B25" w:rsidRDefault="00D15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605E" w14:textId="0A2ECF02" w:rsidR="00091559" w:rsidRPr="00666731" w:rsidRDefault="00155409" w:rsidP="00666731">
    <w:pPr>
      <w:spacing w:line="240" w:lineRule="auto"/>
      <w:jc w:val="both"/>
      <w:rPr>
        <w:sz w:val="14"/>
        <w:szCs w:val="14"/>
        <w:lang w:val="en-GB"/>
      </w:rPr>
    </w:pPr>
    <w:r w:rsidRPr="00315F50">
      <w:rPr>
        <w:b/>
        <w:bCs/>
        <w:color w:val="FF0000"/>
        <w:sz w:val="14"/>
        <w:szCs w:val="14"/>
        <w:lang w:val="en-GB"/>
      </w:rPr>
      <w:t xml:space="preserve">Disclaimer! </w:t>
    </w:r>
    <w:r w:rsidRPr="00315F50">
      <w:rPr>
        <w:sz w:val="14"/>
        <w:szCs w:val="14"/>
        <w:lang w:val="en-GB"/>
      </w:rPr>
      <w:t>This Newsletter is part of the joint action JAHARP2020-</w:t>
    </w:r>
    <w:r w:rsidR="00687342">
      <w:rPr>
        <w:sz w:val="14"/>
        <w:szCs w:val="14"/>
        <w:lang w:val="en-GB"/>
      </w:rPr>
      <w:t>3</w:t>
    </w:r>
    <w:r w:rsidRPr="00315F50">
      <w:rPr>
        <w:sz w:val="14"/>
        <w:szCs w:val="14"/>
        <w:lang w:val="en-GB"/>
      </w:rPr>
      <w:t>, which receives Funding from the European Union in the framework of the Action entitled "EU support to joint market surveillance actions for non-food products". The content of this web page represents the views of the author only and it is his sole responsibility. It cannot be considered to reflect the views of the European Commission or any other body of the European Union. The European Commission does not accept any responsibility for the use that may be made of the information it contains.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1961" w14:textId="77777777" w:rsidR="00BB28D3" w:rsidRDefault="00BB28D3">
    <w:pPr>
      <w:pStyle w:val="Footer"/>
      <w:rPr>
        <w:color w:val="FF0000"/>
        <w:sz w:val="14"/>
        <w:szCs w:val="14"/>
        <w:lang w:val="en-GB"/>
      </w:rPr>
    </w:pPr>
  </w:p>
  <w:p w14:paraId="5E9449E0" w14:textId="6DBB1E23" w:rsidR="007263CA" w:rsidRPr="00DD5497" w:rsidRDefault="00DD5497" w:rsidP="00BB28D3">
    <w:pPr>
      <w:pStyle w:val="Footer"/>
      <w:jc w:val="both"/>
      <w:rPr>
        <w:lang w:val="en-GB"/>
      </w:rPr>
    </w:pPr>
    <w:r w:rsidRPr="000047D6">
      <w:rPr>
        <w:color w:val="FF0000"/>
        <w:sz w:val="14"/>
        <w:szCs w:val="14"/>
        <w:lang w:val="en-GB"/>
      </w:rPr>
      <w:t xml:space="preserve">Caution! </w:t>
    </w:r>
    <w:r w:rsidRPr="000047D6">
      <w:rPr>
        <w:sz w:val="14"/>
        <w:szCs w:val="14"/>
        <w:lang w:val="en-GB"/>
      </w:rPr>
      <w:t>The results described stem from samples of products from the markets in the participating countries. As in most market surveillance activities, the results represent the targeted efforts that MSAs undertake to identify unsafe products. This means that the detected non-compliance rate does not present a statistically valid picture of the situation of the whole market. Tests were undertaken at accredited laboratories and focussed on those safety requirements that have the largest impact on consumer safety</w:t>
    </w:r>
    <w:r w:rsidR="00BB28D3">
      <w:rPr>
        <w:sz w:val="14"/>
        <w:szCs w:val="1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219F" w14:textId="77777777" w:rsidR="00D15B25" w:rsidRDefault="00D15B25" w:rsidP="00091559">
      <w:pPr>
        <w:spacing w:after="0" w:line="240" w:lineRule="auto"/>
      </w:pPr>
      <w:r>
        <w:separator/>
      </w:r>
    </w:p>
  </w:footnote>
  <w:footnote w:type="continuationSeparator" w:id="0">
    <w:p w14:paraId="5E56240D" w14:textId="77777777" w:rsidR="00D15B25" w:rsidRDefault="00D15B25" w:rsidP="00091559">
      <w:pPr>
        <w:spacing w:after="0" w:line="240" w:lineRule="auto"/>
      </w:pPr>
      <w:r>
        <w:continuationSeparator/>
      </w:r>
    </w:p>
  </w:footnote>
  <w:footnote w:type="continuationNotice" w:id="1">
    <w:p w14:paraId="2A93085F" w14:textId="77777777" w:rsidR="00D15B25" w:rsidRDefault="00D15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30A9" w14:textId="47817BFA" w:rsidR="00091559" w:rsidRDefault="00F969FB" w:rsidP="00091559">
    <w:pPr>
      <w:pStyle w:val="Header"/>
      <w:tabs>
        <w:tab w:val="clear" w:pos="4536"/>
        <w:tab w:val="clear" w:pos="9072"/>
        <w:tab w:val="left" w:pos="3203"/>
      </w:tabs>
    </w:pPr>
    <w:r>
      <w:rPr>
        <w:noProof/>
      </w:rPr>
      <w:drawing>
        <wp:anchor distT="0" distB="0" distL="114300" distR="114300" simplePos="0" relativeHeight="251658242" behindDoc="0" locked="0" layoutInCell="1" allowOverlap="1" wp14:anchorId="79EF7DAF" wp14:editId="4D7DFE76">
          <wp:simplePos x="0" y="0"/>
          <wp:positionH relativeFrom="margin">
            <wp:align>right</wp:align>
          </wp:positionH>
          <wp:positionV relativeFrom="paragraph">
            <wp:posOffset>-140714</wp:posOffset>
          </wp:positionV>
          <wp:extent cx="1073150" cy="292735"/>
          <wp:effectExtent l="0" t="0" r="0" b="0"/>
          <wp:wrapSquare wrapText="bothSides"/>
          <wp:docPr id="91" name="Picture 9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2927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C042917" wp14:editId="64724B6F">
          <wp:simplePos x="0" y="0"/>
          <wp:positionH relativeFrom="margin">
            <wp:posOffset>-94838</wp:posOffset>
          </wp:positionH>
          <wp:positionV relativeFrom="paragraph">
            <wp:posOffset>-275210</wp:posOffset>
          </wp:positionV>
          <wp:extent cx="914400" cy="477520"/>
          <wp:effectExtent l="0" t="0" r="0" b="0"/>
          <wp:wrapSquare wrapText="bothSides"/>
          <wp:docPr id="93" name="Picture 9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7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027DEC1A" wp14:editId="040539B4">
          <wp:simplePos x="0" y="0"/>
          <wp:positionH relativeFrom="margin">
            <wp:align>center</wp:align>
          </wp:positionH>
          <wp:positionV relativeFrom="paragraph">
            <wp:posOffset>-350586</wp:posOffset>
          </wp:positionV>
          <wp:extent cx="666750" cy="6667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2020_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091559">
      <w:tab/>
    </w:r>
  </w:p>
  <w:p w14:paraId="2839DDCC" w14:textId="77777777" w:rsidR="00091559" w:rsidRDefault="00091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41A8" w14:textId="7D64A651" w:rsidR="007C738C" w:rsidRDefault="00BB28D3" w:rsidP="007C738C">
    <w:pPr>
      <w:pStyle w:val="Header"/>
      <w:tabs>
        <w:tab w:val="clear" w:pos="4536"/>
        <w:tab w:val="clear" w:pos="9072"/>
        <w:tab w:val="left" w:pos="3203"/>
      </w:tabs>
    </w:pPr>
    <w:r>
      <w:rPr>
        <w:noProof/>
      </w:rPr>
      <w:drawing>
        <wp:anchor distT="0" distB="0" distL="114300" distR="114300" simplePos="0" relativeHeight="251658243" behindDoc="0" locked="0" layoutInCell="1" allowOverlap="1" wp14:anchorId="7AA99864" wp14:editId="205C17AC">
          <wp:simplePos x="0" y="0"/>
          <wp:positionH relativeFrom="margin">
            <wp:posOffset>-163195</wp:posOffset>
          </wp:positionH>
          <wp:positionV relativeFrom="paragraph">
            <wp:posOffset>-173990</wp:posOffset>
          </wp:positionV>
          <wp:extent cx="793750" cy="414020"/>
          <wp:effectExtent l="0" t="0" r="6350" b="5080"/>
          <wp:wrapSquare wrapText="bothSides"/>
          <wp:docPr id="94" name="Picture 9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750" cy="4140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788C516D" wp14:editId="10AAFDA4">
          <wp:simplePos x="0" y="0"/>
          <wp:positionH relativeFrom="margin">
            <wp:posOffset>4662805</wp:posOffset>
          </wp:positionH>
          <wp:positionV relativeFrom="paragraph">
            <wp:posOffset>-109220</wp:posOffset>
          </wp:positionV>
          <wp:extent cx="1092200" cy="297815"/>
          <wp:effectExtent l="0" t="0" r="0" b="6985"/>
          <wp:wrapSquare wrapText="bothSides"/>
          <wp:docPr id="95" name="Picture 9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2200" cy="297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07A9BC04" wp14:editId="5DF6A13A">
          <wp:simplePos x="0" y="0"/>
          <wp:positionH relativeFrom="margin">
            <wp:posOffset>2439670</wp:posOffset>
          </wp:positionH>
          <wp:positionV relativeFrom="paragraph">
            <wp:posOffset>-227330</wp:posOffset>
          </wp:positionV>
          <wp:extent cx="558800" cy="5588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2020_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007C738C">
      <w:tab/>
    </w:r>
    <w:r w:rsidR="007C738C">
      <w:tab/>
    </w:r>
  </w:p>
  <w:p w14:paraId="32E0B483" w14:textId="213E92A4" w:rsidR="007C738C" w:rsidRDefault="007C738C" w:rsidP="007C738C">
    <w:pPr>
      <w:pStyle w:val="Header"/>
      <w:tabs>
        <w:tab w:val="clear" w:pos="4536"/>
        <w:tab w:val="clear" w:pos="9072"/>
        <w:tab w:val="left" w:pos="26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AB"/>
    <w:rsid w:val="00000064"/>
    <w:rsid w:val="00026D85"/>
    <w:rsid w:val="000306E5"/>
    <w:rsid w:val="000422A8"/>
    <w:rsid w:val="00045EE0"/>
    <w:rsid w:val="000460B2"/>
    <w:rsid w:val="000463F4"/>
    <w:rsid w:val="00047118"/>
    <w:rsid w:val="00050F90"/>
    <w:rsid w:val="00062675"/>
    <w:rsid w:val="00063B83"/>
    <w:rsid w:val="0007735C"/>
    <w:rsid w:val="00083A04"/>
    <w:rsid w:val="00091559"/>
    <w:rsid w:val="00095674"/>
    <w:rsid w:val="000B4DB7"/>
    <w:rsid w:val="000C2212"/>
    <w:rsid w:val="000D3BE4"/>
    <w:rsid w:val="000D657C"/>
    <w:rsid w:val="000E0183"/>
    <w:rsid w:val="000E2172"/>
    <w:rsid w:val="000E70D4"/>
    <w:rsid w:val="000F08D5"/>
    <w:rsid w:val="001061D1"/>
    <w:rsid w:val="00121272"/>
    <w:rsid w:val="0012554F"/>
    <w:rsid w:val="00130DC5"/>
    <w:rsid w:val="0013755E"/>
    <w:rsid w:val="00145D92"/>
    <w:rsid w:val="001526C9"/>
    <w:rsid w:val="00155409"/>
    <w:rsid w:val="00156ED1"/>
    <w:rsid w:val="001620DD"/>
    <w:rsid w:val="00185428"/>
    <w:rsid w:val="001854F3"/>
    <w:rsid w:val="00185B23"/>
    <w:rsid w:val="00193427"/>
    <w:rsid w:val="00194397"/>
    <w:rsid w:val="0019493E"/>
    <w:rsid w:val="00195D81"/>
    <w:rsid w:val="001C1884"/>
    <w:rsid w:val="001D1B42"/>
    <w:rsid w:val="001D2858"/>
    <w:rsid w:val="001F5CF5"/>
    <w:rsid w:val="00204EB8"/>
    <w:rsid w:val="002050E8"/>
    <w:rsid w:val="002114EE"/>
    <w:rsid w:val="002241A8"/>
    <w:rsid w:val="00231C15"/>
    <w:rsid w:val="002452CF"/>
    <w:rsid w:val="00255812"/>
    <w:rsid w:val="00260A11"/>
    <w:rsid w:val="00274A89"/>
    <w:rsid w:val="00277BB2"/>
    <w:rsid w:val="002843C2"/>
    <w:rsid w:val="00284517"/>
    <w:rsid w:val="00297628"/>
    <w:rsid w:val="00297F6A"/>
    <w:rsid w:val="002A0DEF"/>
    <w:rsid w:val="002A104E"/>
    <w:rsid w:val="002A40BD"/>
    <w:rsid w:val="002A716A"/>
    <w:rsid w:val="002B2802"/>
    <w:rsid w:val="002C0186"/>
    <w:rsid w:val="002C3D91"/>
    <w:rsid w:val="002D75DF"/>
    <w:rsid w:val="002E20DB"/>
    <w:rsid w:val="002E4885"/>
    <w:rsid w:val="002E4B36"/>
    <w:rsid w:val="00303BEF"/>
    <w:rsid w:val="00310C30"/>
    <w:rsid w:val="00312B78"/>
    <w:rsid w:val="0031717D"/>
    <w:rsid w:val="0033601E"/>
    <w:rsid w:val="00345C14"/>
    <w:rsid w:val="00355A78"/>
    <w:rsid w:val="003562D6"/>
    <w:rsid w:val="003871FD"/>
    <w:rsid w:val="003913B6"/>
    <w:rsid w:val="00394BBA"/>
    <w:rsid w:val="00395F82"/>
    <w:rsid w:val="003A093C"/>
    <w:rsid w:val="003A171D"/>
    <w:rsid w:val="003B0DF5"/>
    <w:rsid w:val="003B5FDE"/>
    <w:rsid w:val="003F302C"/>
    <w:rsid w:val="004016AA"/>
    <w:rsid w:val="00411F3D"/>
    <w:rsid w:val="00427713"/>
    <w:rsid w:val="00431095"/>
    <w:rsid w:val="004375EB"/>
    <w:rsid w:val="00440DD2"/>
    <w:rsid w:val="00451ADC"/>
    <w:rsid w:val="0046340D"/>
    <w:rsid w:val="00466C25"/>
    <w:rsid w:val="00481983"/>
    <w:rsid w:val="00495242"/>
    <w:rsid w:val="004977F3"/>
    <w:rsid w:val="004A4693"/>
    <w:rsid w:val="004A530C"/>
    <w:rsid w:val="004B5BBA"/>
    <w:rsid w:val="004C3263"/>
    <w:rsid w:val="004C5702"/>
    <w:rsid w:val="004C5EAB"/>
    <w:rsid w:val="004F4A7D"/>
    <w:rsid w:val="00503703"/>
    <w:rsid w:val="00514D11"/>
    <w:rsid w:val="00520B02"/>
    <w:rsid w:val="00524B39"/>
    <w:rsid w:val="00530686"/>
    <w:rsid w:val="00543E9F"/>
    <w:rsid w:val="00550982"/>
    <w:rsid w:val="0056225E"/>
    <w:rsid w:val="005638CE"/>
    <w:rsid w:val="005647A9"/>
    <w:rsid w:val="00572359"/>
    <w:rsid w:val="005726F4"/>
    <w:rsid w:val="00586AA3"/>
    <w:rsid w:val="005913CA"/>
    <w:rsid w:val="00593EAB"/>
    <w:rsid w:val="00596A72"/>
    <w:rsid w:val="005A1B09"/>
    <w:rsid w:val="005A7CD6"/>
    <w:rsid w:val="005B2DF5"/>
    <w:rsid w:val="005C15C8"/>
    <w:rsid w:val="005C2DEA"/>
    <w:rsid w:val="005C5AE1"/>
    <w:rsid w:val="005E7F08"/>
    <w:rsid w:val="005F7E01"/>
    <w:rsid w:val="00603D5E"/>
    <w:rsid w:val="00613C96"/>
    <w:rsid w:val="00616B0D"/>
    <w:rsid w:val="00617EF4"/>
    <w:rsid w:val="006265D4"/>
    <w:rsid w:val="0065170C"/>
    <w:rsid w:val="00654352"/>
    <w:rsid w:val="00654ED9"/>
    <w:rsid w:val="00663E90"/>
    <w:rsid w:val="00666731"/>
    <w:rsid w:val="00687342"/>
    <w:rsid w:val="0069622D"/>
    <w:rsid w:val="006A10C7"/>
    <w:rsid w:val="006B2533"/>
    <w:rsid w:val="006C4229"/>
    <w:rsid w:val="006D5331"/>
    <w:rsid w:val="006D74EB"/>
    <w:rsid w:val="006F73EC"/>
    <w:rsid w:val="006F7A88"/>
    <w:rsid w:val="006F7B3C"/>
    <w:rsid w:val="0070202D"/>
    <w:rsid w:val="0072087C"/>
    <w:rsid w:val="00724868"/>
    <w:rsid w:val="007263CA"/>
    <w:rsid w:val="00731552"/>
    <w:rsid w:val="007319F8"/>
    <w:rsid w:val="00734FE6"/>
    <w:rsid w:val="00735098"/>
    <w:rsid w:val="00735E68"/>
    <w:rsid w:val="00752DC1"/>
    <w:rsid w:val="00753587"/>
    <w:rsid w:val="0075545E"/>
    <w:rsid w:val="00773F80"/>
    <w:rsid w:val="00785732"/>
    <w:rsid w:val="00787B0D"/>
    <w:rsid w:val="00790F7B"/>
    <w:rsid w:val="00791013"/>
    <w:rsid w:val="00797A2D"/>
    <w:rsid w:val="007A5183"/>
    <w:rsid w:val="007A7B22"/>
    <w:rsid w:val="007B1785"/>
    <w:rsid w:val="007C0442"/>
    <w:rsid w:val="007C116A"/>
    <w:rsid w:val="007C225A"/>
    <w:rsid w:val="007C6EA4"/>
    <w:rsid w:val="007C738C"/>
    <w:rsid w:val="007D0F65"/>
    <w:rsid w:val="007D4609"/>
    <w:rsid w:val="007D5E53"/>
    <w:rsid w:val="00802745"/>
    <w:rsid w:val="00802E5B"/>
    <w:rsid w:val="00810738"/>
    <w:rsid w:val="00810939"/>
    <w:rsid w:val="00821190"/>
    <w:rsid w:val="00832263"/>
    <w:rsid w:val="0083274A"/>
    <w:rsid w:val="00832C04"/>
    <w:rsid w:val="00834CD0"/>
    <w:rsid w:val="008440F2"/>
    <w:rsid w:val="008454ED"/>
    <w:rsid w:val="0085009B"/>
    <w:rsid w:val="00893801"/>
    <w:rsid w:val="00893A8F"/>
    <w:rsid w:val="00896C84"/>
    <w:rsid w:val="008A6255"/>
    <w:rsid w:val="008B1DC5"/>
    <w:rsid w:val="008B56D0"/>
    <w:rsid w:val="008D3F22"/>
    <w:rsid w:val="008D6FB9"/>
    <w:rsid w:val="008F0DEB"/>
    <w:rsid w:val="008F1016"/>
    <w:rsid w:val="008F5DA2"/>
    <w:rsid w:val="00931C4B"/>
    <w:rsid w:val="00940866"/>
    <w:rsid w:val="00977D1E"/>
    <w:rsid w:val="009832D9"/>
    <w:rsid w:val="0099534F"/>
    <w:rsid w:val="009B5D21"/>
    <w:rsid w:val="009C079B"/>
    <w:rsid w:val="009C12D3"/>
    <w:rsid w:val="009C4416"/>
    <w:rsid w:val="009C5B31"/>
    <w:rsid w:val="009C7A3C"/>
    <w:rsid w:val="009D4AD7"/>
    <w:rsid w:val="009D5E8B"/>
    <w:rsid w:val="009E46F1"/>
    <w:rsid w:val="009E7D55"/>
    <w:rsid w:val="009F1A27"/>
    <w:rsid w:val="009F2FF3"/>
    <w:rsid w:val="00A06EDF"/>
    <w:rsid w:val="00A10E0D"/>
    <w:rsid w:val="00A21D0C"/>
    <w:rsid w:val="00A25B50"/>
    <w:rsid w:val="00A33029"/>
    <w:rsid w:val="00A37A32"/>
    <w:rsid w:val="00A451CD"/>
    <w:rsid w:val="00A4586D"/>
    <w:rsid w:val="00A52758"/>
    <w:rsid w:val="00A609CA"/>
    <w:rsid w:val="00A67BBC"/>
    <w:rsid w:val="00A7610C"/>
    <w:rsid w:val="00A774ED"/>
    <w:rsid w:val="00A85511"/>
    <w:rsid w:val="00A969C5"/>
    <w:rsid w:val="00AA3387"/>
    <w:rsid w:val="00AA5675"/>
    <w:rsid w:val="00AB0DF0"/>
    <w:rsid w:val="00AD3318"/>
    <w:rsid w:val="00AD4B7D"/>
    <w:rsid w:val="00AE0A2A"/>
    <w:rsid w:val="00AE3775"/>
    <w:rsid w:val="00AF142D"/>
    <w:rsid w:val="00AF4435"/>
    <w:rsid w:val="00AF5BF4"/>
    <w:rsid w:val="00AF72C9"/>
    <w:rsid w:val="00B01738"/>
    <w:rsid w:val="00B1694D"/>
    <w:rsid w:val="00B258E6"/>
    <w:rsid w:val="00B33B36"/>
    <w:rsid w:val="00B35EEC"/>
    <w:rsid w:val="00B402AC"/>
    <w:rsid w:val="00B52BDF"/>
    <w:rsid w:val="00B53B27"/>
    <w:rsid w:val="00B54685"/>
    <w:rsid w:val="00B560ED"/>
    <w:rsid w:val="00B6032F"/>
    <w:rsid w:val="00B638DA"/>
    <w:rsid w:val="00B6473C"/>
    <w:rsid w:val="00B760D2"/>
    <w:rsid w:val="00B761E9"/>
    <w:rsid w:val="00B80E37"/>
    <w:rsid w:val="00B84131"/>
    <w:rsid w:val="00B8532B"/>
    <w:rsid w:val="00B8569C"/>
    <w:rsid w:val="00B87671"/>
    <w:rsid w:val="00B9578E"/>
    <w:rsid w:val="00BA19FD"/>
    <w:rsid w:val="00BA54D0"/>
    <w:rsid w:val="00BA7F04"/>
    <w:rsid w:val="00BB28D3"/>
    <w:rsid w:val="00BC73DA"/>
    <w:rsid w:val="00BD203A"/>
    <w:rsid w:val="00BD2455"/>
    <w:rsid w:val="00BD31B0"/>
    <w:rsid w:val="00BD3637"/>
    <w:rsid w:val="00BD57A2"/>
    <w:rsid w:val="00BD7D88"/>
    <w:rsid w:val="00BE42EB"/>
    <w:rsid w:val="00BF0891"/>
    <w:rsid w:val="00BF0957"/>
    <w:rsid w:val="00BF7371"/>
    <w:rsid w:val="00C075B9"/>
    <w:rsid w:val="00C17983"/>
    <w:rsid w:val="00C213DC"/>
    <w:rsid w:val="00C23763"/>
    <w:rsid w:val="00C23B98"/>
    <w:rsid w:val="00C3340D"/>
    <w:rsid w:val="00C34BB7"/>
    <w:rsid w:val="00C361C9"/>
    <w:rsid w:val="00C379CE"/>
    <w:rsid w:val="00C4432D"/>
    <w:rsid w:val="00C54DA5"/>
    <w:rsid w:val="00C57F8C"/>
    <w:rsid w:val="00C603ED"/>
    <w:rsid w:val="00C61FD9"/>
    <w:rsid w:val="00C706F1"/>
    <w:rsid w:val="00C74D97"/>
    <w:rsid w:val="00C92F11"/>
    <w:rsid w:val="00CA0001"/>
    <w:rsid w:val="00CC6F6D"/>
    <w:rsid w:val="00CE5B47"/>
    <w:rsid w:val="00CE72F5"/>
    <w:rsid w:val="00CF39F5"/>
    <w:rsid w:val="00D006DC"/>
    <w:rsid w:val="00D027A7"/>
    <w:rsid w:val="00D03782"/>
    <w:rsid w:val="00D03A44"/>
    <w:rsid w:val="00D03C93"/>
    <w:rsid w:val="00D1042F"/>
    <w:rsid w:val="00D1313F"/>
    <w:rsid w:val="00D15B25"/>
    <w:rsid w:val="00D23DA5"/>
    <w:rsid w:val="00D265A1"/>
    <w:rsid w:val="00D267CC"/>
    <w:rsid w:val="00D36FCD"/>
    <w:rsid w:val="00D37529"/>
    <w:rsid w:val="00D55145"/>
    <w:rsid w:val="00D5571E"/>
    <w:rsid w:val="00D65BB3"/>
    <w:rsid w:val="00D66103"/>
    <w:rsid w:val="00DA12C3"/>
    <w:rsid w:val="00DA1F19"/>
    <w:rsid w:val="00DA2388"/>
    <w:rsid w:val="00DD5497"/>
    <w:rsid w:val="00DE7202"/>
    <w:rsid w:val="00E03D71"/>
    <w:rsid w:val="00E30FB5"/>
    <w:rsid w:val="00E54B41"/>
    <w:rsid w:val="00E70AED"/>
    <w:rsid w:val="00E724CD"/>
    <w:rsid w:val="00E80C88"/>
    <w:rsid w:val="00E87505"/>
    <w:rsid w:val="00E91103"/>
    <w:rsid w:val="00E96240"/>
    <w:rsid w:val="00EA0149"/>
    <w:rsid w:val="00EA1806"/>
    <w:rsid w:val="00EC0AB6"/>
    <w:rsid w:val="00ED2C25"/>
    <w:rsid w:val="00EE58B6"/>
    <w:rsid w:val="00EF1CEC"/>
    <w:rsid w:val="00F027D2"/>
    <w:rsid w:val="00F02D7A"/>
    <w:rsid w:val="00F05690"/>
    <w:rsid w:val="00F155AB"/>
    <w:rsid w:val="00F2315F"/>
    <w:rsid w:val="00F27CD9"/>
    <w:rsid w:val="00F32BFB"/>
    <w:rsid w:val="00F34F06"/>
    <w:rsid w:val="00F41138"/>
    <w:rsid w:val="00F4658D"/>
    <w:rsid w:val="00F52729"/>
    <w:rsid w:val="00F5489F"/>
    <w:rsid w:val="00F56D16"/>
    <w:rsid w:val="00F60CFB"/>
    <w:rsid w:val="00F7695A"/>
    <w:rsid w:val="00F8147B"/>
    <w:rsid w:val="00F91A9F"/>
    <w:rsid w:val="00F95E65"/>
    <w:rsid w:val="00F969FB"/>
    <w:rsid w:val="00FB4F8A"/>
    <w:rsid w:val="00FB5B56"/>
    <w:rsid w:val="00FC4FC3"/>
    <w:rsid w:val="00FC6E03"/>
    <w:rsid w:val="00FE090E"/>
    <w:rsid w:val="00FE456E"/>
    <w:rsid w:val="00FE48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D9C64"/>
  <w15:chartTrackingRefBased/>
  <w15:docId w15:val="{5C605E7E-FD83-463E-85B9-DF14CEBA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65"/>
    <w:rPr>
      <w:rFonts w:ascii="Trebuchet MS" w:hAnsi="Trebuchet MS"/>
    </w:rPr>
  </w:style>
  <w:style w:type="paragraph" w:styleId="Heading1">
    <w:name w:val="heading 1"/>
    <w:basedOn w:val="Normal"/>
    <w:next w:val="Normal"/>
    <w:link w:val="Heading1Char"/>
    <w:uiPriority w:val="9"/>
    <w:qFormat/>
    <w:rsid w:val="00466C25"/>
    <w:pPr>
      <w:keepNext/>
      <w:keepLines/>
      <w:spacing w:before="240" w:after="0"/>
      <w:outlineLvl w:val="0"/>
    </w:pPr>
    <w:rPr>
      <w:rFonts w:eastAsiaTheme="majorEastAsia" w:cstheme="majorBidi"/>
      <w:b/>
      <w:color w:val="3A5750" w:themeColor="accent5" w:themeShade="80"/>
      <w:sz w:val="32"/>
      <w:szCs w:val="32"/>
    </w:rPr>
  </w:style>
  <w:style w:type="paragraph" w:styleId="Heading2">
    <w:name w:val="heading 2"/>
    <w:basedOn w:val="Normal"/>
    <w:next w:val="Normal"/>
    <w:link w:val="Heading2Char"/>
    <w:uiPriority w:val="9"/>
    <w:unhideWhenUsed/>
    <w:qFormat/>
    <w:rsid w:val="00466C25"/>
    <w:pPr>
      <w:keepNext/>
      <w:keepLines/>
      <w:spacing w:before="40" w:after="0"/>
      <w:outlineLvl w:val="1"/>
    </w:pPr>
    <w:rPr>
      <w:rFonts w:eastAsiaTheme="majorEastAsia" w:cstheme="majorBidi"/>
      <w:b/>
      <w:color w:val="568278"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25"/>
    <w:rPr>
      <w:rFonts w:ascii="Trebuchet MS" w:eastAsiaTheme="majorEastAsia" w:hAnsi="Trebuchet MS" w:cstheme="majorBidi"/>
      <w:b/>
      <w:color w:val="3A5750" w:themeColor="accent5" w:themeShade="80"/>
      <w:sz w:val="32"/>
      <w:szCs w:val="32"/>
    </w:rPr>
  </w:style>
  <w:style w:type="character" w:customStyle="1" w:styleId="Heading2Char">
    <w:name w:val="Heading 2 Char"/>
    <w:basedOn w:val="DefaultParagraphFont"/>
    <w:link w:val="Heading2"/>
    <w:uiPriority w:val="9"/>
    <w:rsid w:val="00466C25"/>
    <w:rPr>
      <w:rFonts w:ascii="Trebuchet MS" w:eastAsiaTheme="majorEastAsia" w:hAnsi="Trebuchet MS" w:cstheme="majorBidi"/>
      <w:b/>
      <w:color w:val="568278" w:themeColor="accent5" w:themeShade="BF"/>
      <w:sz w:val="26"/>
      <w:szCs w:val="26"/>
    </w:rPr>
  </w:style>
  <w:style w:type="paragraph" w:styleId="ListParagraph">
    <w:name w:val="List Paragraph"/>
    <w:basedOn w:val="Normal"/>
    <w:uiPriority w:val="34"/>
    <w:qFormat/>
    <w:rsid w:val="00834CD0"/>
    <w:pPr>
      <w:ind w:left="720"/>
      <w:contextualSpacing/>
    </w:pPr>
  </w:style>
  <w:style w:type="character" w:styleId="Hyperlink">
    <w:name w:val="Hyperlink"/>
    <w:basedOn w:val="DefaultParagraphFont"/>
    <w:uiPriority w:val="99"/>
    <w:unhideWhenUsed/>
    <w:rsid w:val="00B761E9"/>
    <w:rPr>
      <w:color w:val="F7B615" w:themeColor="hyperlink"/>
      <w:u w:val="single"/>
    </w:rPr>
  </w:style>
  <w:style w:type="character" w:styleId="UnresolvedMention">
    <w:name w:val="Unresolved Mention"/>
    <w:basedOn w:val="DefaultParagraphFont"/>
    <w:uiPriority w:val="99"/>
    <w:semiHidden/>
    <w:unhideWhenUsed/>
    <w:rsid w:val="00B761E9"/>
    <w:rPr>
      <w:color w:val="605E5C"/>
      <w:shd w:val="clear" w:color="auto" w:fill="E1DFDD"/>
    </w:rPr>
  </w:style>
  <w:style w:type="paragraph" w:styleId="Header">
    <w:name w:val="header"/>
    <w:basedOn w:val="Normal"/>
    <w:link w:val="HeaderChar"/>
    <w:uiPriority w:val="99"/>
    <w:unhideWhenUsed/>
    <w:rsid w:val="000915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559"/>
    <w:rPr>
      <w:rFonts w:ascii="Trebuchet MS" w:hAnsi="Trebuchet MS"/>
    </w:rPr>
  </w:style>
  <w:style w:type="paragraph" w:styleId="Footer">
    <w:name w:val="footer"/>
    <w:basedOn w:val="Normal"/>
    <w:link w:val="FooterChar"/>
    <w:uiPriority w:val="99"/>
    <w:unhideWhenUsed/>
    <w:rsid w:val="000915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559"/>
    <w:rPr>
      <w:rFonts w:ascii="Trebuchet MS" w:hAnsi="Trebuchet MS"/>
    </w:rPr>
  </w:style>
  <w:style w:type="paragraph" w:styleId="NoSpacing">
    <w:name w:val="No Spacing"/>
    <w:uiPriority w:val="1"/>
    <w:qFormat/>
    <w:rsid w:val="00D03782"/>
    <w:pPr>
      <w:spacing w:after="0" w:line="240" w:lineRule="auto"/>
    </w:pPr>
    <w:rPr>
      <w:rFonts w:ascii="Trebuchet MS" w:hAnsi="Trebuchet MS"/>
    </w:rPr>
  </w:style>
  <w:style w:type="character" w:styleId="Strong">
    <w:name w:val="Strong"/>
    <w:basedOn w:val="DefaultParagraphFont"/>
    <w:uiPriority w:val="22"/>
    <w:qFormat/>
    <w:rsid w:val="00731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linkedin.com/company/prosafe-product-saf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safe.org/index.php/en/" TargetMode="External"/><Relationship Id="rId17" Type="http://schemas.openxmlformats.org/officeDocument/2006/relationships/hyperlink" Target="https://twitter.com/PROSAFE_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IoanaSandu\AppData\Local\Microsoft\Windows\INetCache\Content.Outlook\DB9NPY2A\www.prosafe.org" TargetMode="External"/><Relationship Id="rId20" Type="http://schemas.openxmlformats.org/officeDocument/2006/relationships/hyperlink" Target="http://www.prosaf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info@prosaf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741F1-0CE9-4100-B271-FA3D44CE1AFE}">
  <ds:schemaRefs>
    <ds:schemaRef ds:uri="http://schemas.openxmlformats.org/officeDocument/2006/bibliography"/>
  </ds:schemaRefs>
</ds:datastoreItem>
</file>

<file path=customXml/itemProps2.xml><?xml version="1.0" encoding="utf-8"?>
<ds:datastoreItem xmlns:ds="http://schemas.openxmlformats.org/officeDocument/2006/customXml" ds:itemID="{328138FF-8996-46AA-97BE-8105C99C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B4769-D000-4E4A-860B-8688B94B1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846</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Loveno Garofalo</dc:creator>
  <cp:keywords/>
  <dc:description/>
  <cp:lastModifiedBy>Giuseppe  Loveno Garofalo</cp:lastModifiedBy>
  <cp:revision>157</cp:revision>
  <dcterms:created xsi:type="dcterms:W3CDTF">2022-12-13T04:13:00Z</dcterms:created>
  <dcterms:modified xsi:type="dcterms:W3CDTF">2023-02-07T08:04:00Z</dcterms:modified>
</cp:coreProperties>
</file>