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DA3379" w14:textId="5C5B4DFB" w:rsidR="005F3059" w:rsidRPr="00F37F34" w:rsidRDefault="005F3059" w:rsidP="00F14644">
      <w:pPr>
        <w:jc w:val="both"/>
        <w:rPr>
          <w:rFonts w:asciiTheme="minorHAnsi" w:hAnsiTheme="minorHAnsi" w:cstheme="minorHAnsi"/>
          <w:b/>
          <w:color w:val="005698"/>
          <w:sz w:val="24"/>
          <w:szCs w:val="24"/>
          <w:lang w:val="en-GB"/>
        </w:rPr>
      </w:pPr>
    </w:p>
    <w:p w14:paraId="79B206B1" w14:textId="331AA8C0" w:rsidR="00B94740" w:rsidRPr="00F37F34" w:rsidRDefault="00A90987" w:rsidP="000C2026">
      <w:pPr>
        <w:jc w:val="right"/>
        <w:rPr>
          <w:rFonts w:asciiTheme="minorHAnsi" w:hAnsiTheme="minorHAnsi" w:cstheme="minorHAnsi"/>
          <w:b/>
          <w:color w:val="005698"/>
          <w:sz w:val="24"/>
          <w:szCs w:val="24"/>
          <w:lang w:val="en-GB"/>
        </w:rPr>
      </w:pPr>
      <w:r>
        <w:rPr>
          <w:rFonts w:asciiTheme="minorHAnsi" w:hAnsiTheme="minorHAnsi" w:cstheme="minorHAnsi"/>
          <w:b/>
          <w:color w:val="005698"/>
          <w:sz w:val="24"/>
          <w:szCs w:val="24"/>
          <w:lang w:val="en-GB"/>
        </w:rPr>
        <w:t>Press release of the European Consumer Centre Czechia by the CTIA</w:t>
      </w:r>
    </w:p>
    <w:p w14:paraId="3DB7A465" w14:textId="77777777" w:rsidR="00B94740" w:rsidRPr="00F37F34" w:rsidRDefault="00B94740" w:rsidP="00F14644">
      <w:pPr>
        <w:spacing w:line="276" w:lineRule="auto"/>
        <w:jc w:val="both"/>
        <w:rPr>
          <w:rFonts w:asciiTheme="minorHAnsi" w:hAnsiTheme="minorHAnsi" w:cstheme="minorHAnsi"/>
          <w:b/>
          <w:sz w:val="24"/>
          <w:szCs w:val="24"/>
          <w:lang w:val="en-GB"/>
        </w:rPr>
      </w:pPr>
    </w:p>
    <w:p w14:paraId="52087523" w14:textId="79B76AFF" w:rsidR="00175A6D" w:rsidRPr="00F37F34" w:rsidRDefault="00966816" w:rsidP="00966816">
      <w:pPr>
        <w:shd w:val="clear" w:color="auto" w:fill="FFFFFF"/>
        <w:spacing w:before="100" w:beforeAutospacing="1" w:after="100" w:afterAutospacing="1"/>
        <w:outlineLvl w:val="0"/>
        <w:rPr>
          <w:rFonts w:eastAsia="Times New Roman"/>
          <w:b/>
          <w:bCs/>
          <w:color w:val="01539C"/>
          <w:kern w:val="36"/>
          <w:sz w:val="40"/>
          <w:szCs w:val="48"/>
          <w:lang w:val="en-GB" w:eastAsia="cs-CZ"/>
        </w:rPr>
      </w:pPr>
      <w:r w:rsidRPr="00F37F34">
        <w:rPr>
          <w:rFonts w:eastAsia="Times New Roman"/>
          <w:b/>
          <w:bCs/>
          <w:color w:val="01539C"/>
          <w:kern w:val="36"/>
          <w:sz w:val="40"/>
          <w:szCs w:val="48"/>
          <w:lang w:val="en-GB" w:eastAsia="cs-CZ"/>
        </w:rPr>
        <w:t>How get your mo</w:t>
      </w:r>
      <w:bookmarkStart w:id="0" w:name="_GoBack"/>
      <w:bookmarkEnd w:id="0"/>
      <w:r w:rsidRPr="00F37F34">
        <w:rPr>
          <w:rFonts w:eastAsia="Times New Roman"/>
          <w:b/>
          <w:bCs/>
          <w:color w:val="01539C"/>
          <w:kern w:val="36"/>
          <w:sz w:val="40"/>
          <w:szCs w:val="48"/>
          <w:lang w:val="en-GB" w:eastAsia="cs-CZ"/>
        </w:rPr>
        <w:t>ney back for non-delivered gifts</w:t>
      </w:r>
    </w:p>
    <w:p w14:paraId="23F3A5C1" w14:textId="51EB6F0C" w:rsidR="00966816" w:rsidRPr="00F37F34" w:rsidRDefault="00966816" w:rsidP="00175A6D">
      <w:pPr>
        <w:pStyle w:val="Normlnweb"/>
        <w:shd w:val="clear" w:color="auto" w:fill="FFFFFF"/>
        <w:spacing w:before="0" w:beforeAutospacing="0"/>
        <w:jc w:val="both"/>
        <w:rPr>
          <w:rFonts w:ascii="Arial" w:hAnsi="Arial" w:cs="Arial"/>
          <w:color w:val="292B2C"/>
          <w:sz w:val="22"/>
          <w:szCs w:val="22"/>
          <w:lang w:val="en-GB"/>
        </w:rPr>
      </w:pPr>
      <w:r w:rsidRPr="00F37F34">
        <w:rPr>
          <w:rStyle w:val="Zdraznn"/>
          <w:rFonts w:ascii="Arial" w:hAnsi="Arial" w:cs="Arial"/>
          <w:b/>
          <w:bCs/>
          <w:color w:val="292B2C"/>
          <w:sz w:val="22"/>
          <w:szCs w:val="22"/>
          <w:shd w:val="clear" w:color="auto" w:fill="FFFFFF"/>
          <w:lang w:val="en-GB"/>
        </w:rPr>
        <w:t>(Prague, December 31, 2023)</w:t>
      </w:r>
      <w:r w:rsidRPr="00F37F34">
        <w:rPr>
          <w:rStyle w:val="Siln"/>
          <w:rFonts w:ascii="Arial" w:hAnsi="Arial" w:cs="Arial"/>
          <w:color w:val="292B2C"/>
          <w:sz w:val="22"/>
          <w:szCs w:val="22"/>
          <w:shd w:val="clear" w:color="auto" w:fill="FFFFFF"/>
          <w:lang w:val="en-GB"/>
        </w:rPr>
        <w:t> Many people have not received the Christmas gifts they ordered for their beloved ones. If the seller does not refund the paid amount or does not even communicate, there is a way to get the money back without his consent. The experience of the European Consumer Centre Czech Republic shows that after paying online by card, the bank can help with a tool called chargeback, and after paying through online payment systems, their operators can help. However, such help cannot be expected after payment by transfer between bank accounts</w:t>
      </w:r>
      <w:r w:rsidR="00F37F34">
        <w:rPr>
          <w:rStyle w:val="Siln"/>
          <w:rFonts w:ascii="Arial" w:hAnsi="Arial" w:cs="Arial"/>
          <w:color w:val="292B2C"/>
          <w:sz w:val="22"/>
          <w:szCs w:val="22"/>
          <w:shd w:val="clear" w:color="auto" w:fill="FFFFFF"/>
          <w:lang w:val="en-GB"/>
        </w:rPr>
        <w:t>.</w:t>
      </w:r>
    </w:p>
    <w:p w14:paraId="2CDE79AE" w14:textId="77777777" w:rsidR="00966816" w:rsidRPr="00966816" w:rsidRDefault="00966816" w:rsidP="00966816">
      <w:pPr>
        <w:widowControl/>
        <w:shd w:val="clear" w:color="auto" w:fill="FFFFFF"/>
        <w:autoSpaceDE/>
        <w:autoSpaceDN/>
        <w:spacing w:after="100" w:afterAutospacing="1"/>
        <w:jc w:val="both"/>
        <w:rPr>
          <w:rFonts w:eastAsia="Times New Roman"/>
          <w:color w:val="292B2C"/>
          <w:lang w:val="en-GB" w:eastAsia="cs-CZ"/>
        </w:rPr>
      </w:pPr>
      <w:r w:rsidRPr="00966816">
        <w:rPr>
          <w:rFonts w:eastAsia="Times New Roman"/>
          <w:color w:val="292B2C"/>
          <w:lang w:val="en-GB" w:eastAsia="cs-CZ"/>
        </w:rPr>
        <w:t>“Not all gifts have been delivered on time, and disputes arise – the business continues to deliver the goods while the consumer no longer wants them. Or something else has been delivered, something of poor quality or nothing either. The consumer wants his money back, but the retailer does not return it,” says Ondřej Tichota from the European Consumer Centre operating by the Czech Trade Inspection Authority.</w:t>
      </w:r>
    </w:p>
    <w:p w14:paraId="6DEECDAB" w14:textId="77777777" w:rsidR="00966816" w:rsidRPr="00966816" w:rsidRDefault="00966816" w:rsidP="00966816">
      <w:pPr>
        <w:widowControl/>
        <w:shd w:val="clear" w:color="auto" w:fill="FFFFFF"/>
        <w:autoSpaceDE/>
        <w:autoSpaceDN/>
        <w:spacing w:after="100" w:afterAutospacing="1"/>
        <w:jc w:val="both"/>
        <w:rPr>
          <w:rFonts w:eastAsia="Times New Roman"/>
          <w:color w:val="292B2C"/>
          <w:lang w:val="en-GB" w:eastAsia="cs-CZ"/>
        </w:rPr>
      </w:pPr>
      <w:r w:rsidRPr="00966816">
        <w:rPr>
          <w:rFonts w:eastAsia="Times New Roman"/>
          <w:color w:val="292B2C"/>
          <w:lang w:val="en-GB" w:eastAsia="cs-CZ"/>
        </w:rPr>
        <w:t>If they cannot agree on a refund, it is advisable to contact the payment claims department of the bank that issued the payment card used. With the help of chargeback, which is a tool of card associations, the consumer’s bank figuratively speaking withdraws the money back from the merchant’s bank, unless the merchant proves that everything went well. Similarly, customer support for e-wallet systems helps.</w:t>
      </w:r>
    </w:p>
    <w:p w14:paraId="7D550191" w14:textId="77777777" w:rsidR="00966816" w:rsidRPr="00966816" w:rsidRDefault="00966816" w:rsidP="00966816">
      <w:pPr>
        <w:widowControl/>
        <w:shd w:val="clear" w:color="auto" w:fill="FFFFFF"/>
        <w:autoSpaceDE/>
        <w:autoSpaceDN/>
        <w:spacing w:after="100" w:afterAutospacing="1"/>
        <w:jc w:val="both"/>
        <w:rPr>
          <w:rFonts w:eastAsia="Times New Roman"/>
          <w:color w:val="292B2C"/>
          <w:lang w:val="en-GB" w:eastAsia="cs-CZ"/>
        </w:rPr>
      </w:pPr>
      <w:r w:rsidRPr="00966816">
        <w:rPr>
          <w:rFonts w:eastAsia="Times New Roman"/>
          <w:color w:val="292B2C"/>
          <w:lang w:val="en-GB" w:eastAsia="cs-CZ"/>
        </w:rPr>
        <w:t>“Consumers should have their documents ready, including the order, invoice and any written communication with the retailer,” says Ondřej Tichota, who also points to cases of damaged goods. Such a record can be useful when requesting a replacement or refund.”</w:t>
      </w:r>
    </w:p>
    <w:p w14:paraId="412A1FF8" w14:textId="77777777" w:rsidR="00966816" w:rsidRPr="00966816" w:rsidRDefault="00966816" w:rsidP="00966816">
      <w:pPr>
        <w:widowControl/>
        <w:shd w:val="clear" w:color="auto" w:fill="FFFFFF"/>
        <w:autoSpaceDE/>
        <w:autoSpaceDN/>
        <w:spacing w:after="100" w:afterAutospacing="1"/>
        <w:jc w:val="both"/>
        <w:rPr>
          <w:rFonts w:eastAsia="Times New Roman"/>
          <w:color w:val="292B2C"/>
          <w:lang w:val="en-GB" w:eastAsia="cs-CZ"/>
        </w:rPr>
      </w:pPr>
      <w:r w:rsidRPr="00966816">
        <w:rPr>
          <w:rFonts w:eastAsia="Times New Roman"/>
          <w:color w:val="292B2C"/>
          <w:lang w:val="en-GB" w:eastAsia="cs-CZ"/>
        </w:rPr>
        <w:t>It is usually not possible to get your money back after paying by bank transfer. This is only possible with the consent of the other party, which cannot be expected in the case of outright fraud, for example where the name of the seller is not even known, or with some non-EU online sellers.</w:t>
      </w:r>
    </w:p>
    <w:p w14:paraId="08195686" w14:textId="77777777" w:rsidR="00966816" w:rsidRPr="00966816" w:rsidRDefault="00966816" w:rsidP="00966816">
      <w:pPr>
        <w:widowControl/>
        <w:shd w:val="clear" w:color="auto" w:fill="FFFFFF"/>
        <w:autoSpaceDE/>
        <w:autoSpaceDN/>
        <w:spacing w:after="100" w:afterAutospacing="1"/>
        <w:jc w:val="both"/>
        <w:rPr>
          <w:rFonts w:eastAsia="Times New Roman"/>
          <w:color w:val="292B2C"/>
          <w:lang w:val="en-GB" w:eastAsia="cs-CZ"/>
        </w:rPr>
      </w:pPr>
      <w:r w:rsidRPr="00966816">
        <w:rPr>
          <w:rFonts w:eastAsia="Times New Roman"/>
          <w:color w:val="292B2C"/>
          <w:lang w:val="en-GB" w:eastAsia="cs-CZ"/>
        </w:rPr>
        <w:t>“If people bet on cash on delivery and paid for the goods by card directly to the courier, but were not satisfied with the product and the seller does not want to return the money, then chargeback cannot be used,” notes Ondřej Tichota.</w:t>
      </w:r>
    </w:p>
    <w:p w14:paraId="3B94E4A6" w14:textId="08905D93" w:rsidR="00175A6D" w:rsidRPr="00F37F34" w:rsidRDefault="00966816" w:rsidP="00966816">
      <w:pPr>
        <w:widowControl/>
        <w:shd w:val="clear" w:color="auto" w:fill="FFFFFF"/>
        <w:autoSpaceDE/>
        <w:autoSpaceDN/>
        <w:spacing w:after="100" w:afterAutospacing="1"/>
        <w:jc w:val="both"/>
        <w:rPr>
          <w:rFonts w:eastAsia="Times New Roman"/>
          <w:color w:val="292B2C"/>
          <w:lang w:val="en-GB" w:eastAsia="cs-CZ"/>
        </w:rPr>
      </w:pPr>
      <w:r w:rsidRPr="00966816">
        <w:rPr>
          <w:rFonts w:eastAsia="Times New Roman"/>
          <w:color w:val="292B2C"/>
          <w:lang w:val="en-GB" w:eastAsia="cs-CZ"/>
        </w:rPr>
        <w:t>If a consumer has a cross-border dispute with a trader from another EU country, Norway or Iceland, they can get free help from the European Consumer Centres Network (ECC-Net). The 29 centres have been funded by the European Commission and participating countries for 18 years.</w:t>
      </w:r>
      <w:r w:rsidR="005A656A" w:rsidRPr="00F37F34">
        <w:rPr>
          <w:color w:val="292B2C"/>
          <w:lang w:val="en-GB"/>
        </w:rPr>
        <w:t xml:space="preserve"> </w:t>
      </w:r>
    </w:p>
    <w:p w14:paraId="23D11E5A" w14:textId="62E5A45E" w:rsidR="006D58C1" w:rsidRPr="00F37F34" w:rsidRDefault="006D58C1" w:rsidP="00F14644">
      <w:pPr>
        <w:jc w:val="both"/>
        <w:rPr>
          <w:rFonts w:asciiTheme="minorHAnsi" w:hAnsiTheme="minorHAnsi" w:cstheme="minorHAnsi"/>
          <w:lang w:val="en-GB"/>
        </w:rPr>
      </w:pPr>
    </w:p>
    <w:p w14:paraId="6C781B69" w14:textId="7462F2CA" w:rsidR="002E5BBB" w:rsidRPr="00F37F34" w:rsidRDefault="00D76907" w:rsidP="00F14644">
      <w:pPr>
        <w:spacing w:line="276" w:lineRule="auto"/>
        <w:jc w:val="both"/>
        <w:rPr>
          <w:rFonts w:asciiTheme="minorHAnsi" w:hAnsiTheme="minorHAnsi" w:cstheme="minorHAnsi"/>
          <w:lang w:val="en-GB"/>
        </w:rPr>
      </w:pPr>
      <w:r w:rsidRPr="00F37F34">
        <w:rPr>
          <w:rFonts w:asciiTheme="minorHAnsi" w:hAnsiTheme="minorHAnsi" w:cstheme="minorHAnsi"/>
          <w:b/>
          <w:i/>
          <w:lang w:val="en-GB"/>
        </w:rPr>
        <w:br/>
      </w:r>
      <w:r w:rsidR="00966816" w:rsidRPr="00F37F34">
        <w:rPr>
          <w:rFonts w:asciiTheme="minorHAnsi" w:hAnsiTheme="minorHAnsi" w:cstheme="minorHAnsi"/>
          <w:b/>
          <w:i/>
          <w:lang w:val="en-GB"/>
        </w:rPr>
        <w:t>Me</w:t>
      </w:r>
      <w:r w:rsidR="00E71A37" w:rsidRPr="00F37F34">
        <w:rPr>
          <w:rFonts w:asciiTheme="minorHAnsi" w:hAnsiTheme="minorHAnsi" w:cstheme="minorHAnsi"/>
          <w:b/>
          <w:i/>
          <w:lang w:val="en-GB"/>
        </w:rPr>
        <w:t>dia</w:t>
      </w:r>
      <w:r w:rsidR="00966816" w:rsidRPr="00F37F34">
        <w:rPr>
          <w:rFonts w:asciiTheme="minorHAnsi" w:hAnsiTheme="minorHAnsi" w:cstheme="minorHAnsi"/>
          <w:b/>
          <w:i/>
          <w:lang w:val="en-GB"/>
        </w:rPr>
        <w:t xml:space="preserve"> contact</w:t>
      </w:r>
      <w:r w:rsidR="00E71A37" w:rsidRPr="00F37F34">
        <w:rPr>
          <w:rFonts w:asciiTheme="minorHAnsi" w:hAnsiTheme="minorHAnsi" w:cstheme="minorHAnsi"/>
          <w:b/>
          <w:i/>
          <w:lang w:val="en-GB"/>
        </w:rPr>
        <w:t>:</w:t>
      </w:r>
      <w:r w:rsidR="00E71A37" w:rsidRPr="00F37F34">
        <w:rPr>
          <w:rFonts w:asciiTheme="minorHAnsi" w:hAnsiTheme="minorHAnsi" w:cstheme="minorHAnsi"/>
          <w:i/>
          <w:lang w:val="en-GB"/>
        </w:rPr>
        <w:t xml:space="preserve"> </w:t>
      </w:r>
      <w:r w:rsidR="00DC5F45" w:rsidRPr="00F37F34">
        <w:rPr>
          <w:rFonts w:asciiTheme="minorHAnsi" w:hAnsiTheme="minorHAnsi" w:cstheme="minorHAnsi"/>
          <w:lang w:val="en-GB"/>
        </w:rPr>
        <w:t>Ondřej Tichota</w:t>
      </w:r>
      <w:r w:rsidRPr="00F37F34">
        <w:rPr>
          <w:rFonts w:asciiTheme="minorHAnsi" w:hAnsiTheme="minorHAnsi" w:cstheme="minorHAnsi"/>
          <w:lang w:val="en-GB"/>
        </w:rPr>
        <w:t xml:space="preserve">, </w:t>
      </w:r>
      <w:r w:rsidR="00966816" w:rsidRPr="00F37F34">
        <w:rPr>
          <w:rFonts w:asciiTheme="minorHAnsi" w:hAnsiTheme="minorHAnsi" w:cstheme="minorHAnsi"/>
          <w:lang w:val="en-GB"/>
        </w:rPr>
        <w:t>ECC Czechia Director</w:t>
      </w:r>
      <w:r w:rsidRPr="00F37F34">
        <w:rPr>
          <w:rFonts w:asciiTheme="minorHAnsi" w:hAnsiTheme="minorHAnsi" w:cstheme="minorHAnsi"/>
          <w:lang w:val="en-GB"/>
        </w:rPr>
        <w:t xml:space="preserve">, </w:t>
      </w:r>
      <w:r w:rsidR="00966816" w:rsidRPr="00F37F34">
        <w:rPr>
          <w:rFonts w:asciiTheme="minorHAnsi" w:hAnsiTheme="minorHAnsi" w:cstheme="minorHAnsi"/>
          <w:lang w:val="en-GB"/>
        </w:rPr>
        <w:t xml:space="preserve">+420 </w:t>
      </w:r>
      <w:r w:rsidR="002E5BBB" w:rsidRPr="00F37F34">
        <w:rPr>
          <w:rFonts w:asciiTheme="minorHAnsi" w:hAnsiTheme="minorHAnsi" w:cstheme="minorHAnsi"/>
          <w:lang w:val="en-GB"/>
        </w:rPr>
        <w:t xml:space="preserve">731 553 653, </w:t>
      </w:r>
      <w:hyperlink r:id="rId7" w:history="1">
        <w:r w:rsidR="002E5BBB" w:rsidRPr="00F37F34">
          <w:rPr>
            <w:rStyle w:val="Hypertextovodkaz"/>
            <w:rFonts w:asciiTheme="minorHAnsi" w:hAnsiTheme="minorHAnsi" w:cstheme="minorHAnsi"/>
            <w:lang w:val="en-GB"/>
          </w:rPr>
          <w:t>otichota@coi.cz</w:t>
        </w:r>
      </w:hyperlink>
    </w:p>
    <w:sectPr w:rsidR="002E5BBB" w:rsidRPr="00F37F34" w:rsidSect="00D76907">
      <w:headerReference w:type="default" r:id="rId8"/>
      <w:footerReference w:type="default" r:id="rId9"/>
      <w:pgSz w:w="11910" w:h="16840"/>
      <w:pgMar w:top="1276" w:right="1134" w:bottom="851" w:left="1134" w:header="720" w:footer="567"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E77A5F" w16cid:durableId="2717A75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E1592" w14:textId="77777777" w:rsidR="003D4AB3" w:rsidRDefault="003D4AB3">
      <w:r>
        <w:separator/>
      </w:r>
    </w:p>
  </w:endnote>
  <w:endnote w:type="continuationSeparator" w:id="0">
    <w:p w14:paraId="6FBBA73F" w14:textId="77777777" w:rsidR="003D4AB3" w:rsidRDefault="003D4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inionPro-Regular">
    <w:charset w:val="00"/>
    <w:family w:val="auto"/>
    <w:pitch w:val="variable"/>
    <w:sig w:usb0="60000287" w:usb1="00000001" w:usb2="00000000" w:usb3="00000000" w:csb0="0000019F" w:csb1="00000000"/>
  </w:font>
  <w:font w:name="MyriadPro-Light">
    <w:altName w:val="Times New Roman"/>
    <w:charset w:val="00"/>
    <w:family w:val="auto"/>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21CB1" w14:textId="71E4CDB2" w:rsidR="008E4CCD" w:rsidRDefault="008E4CCD" w:rsidP="00A92A6C">
    <w:pPr>
      <w:pStyle w:val="Zpat"/>
      <w:tabs>
        <w:tab w:val="clear" w:pos="4536"/>
        <w:tab w:val="clear" w:pos="9072"/>
        <w:tab w:val="left" w:pos="5480"/>
      </w:tabs>
    </w:pPr>
    <w:r>
      <w:rPr>
        <w:noProof/>
        <w:lang w:val="cs-CZ" w:eastAsia="cs-CZ"/>
      </w:rPr>
      <mc:AlternateContent>
        <mc:Choice Requires="wps">
          <w:drawing>
            <wp:anchor distT="0" distB="0" distL="114300" distR="114300" simplePos="0" relativeHeight="251654656" behindDoc="0" locked="0" layoutInCell="1" allowOverlap="1" wp14:anchorId="19C360DE" wp14:editId="465265B6">
              <wp:simplePos x="0" y="0"/>
              <wp:positionH relativeFrom="column">
                <wp:posOffset>-95250</wp:posOffset>
              </wp:positionH>
              <wp:positionV relativeFrom="paragraph">
                <wp:posOffset>53340</wp:posOffset>
              </wp:positionV>
              <wp:extent cx="6312535" cy="685165"/>
              <wp:effectExtent l="0" t="0" r="0" b="635"/>
              <wp:wrapNone/>
              <wp:docPr id="41" name="Textfeld 41"/>
              <wp:cNvGraphicFramePr/>
              <a:graphic xmlns:a="http://schemas.openxmlformats.org/drawingml/2006/main">
                <a:graphicData uri="http://schemas.microsoft.com/office/word/2010/wordprocessingShape">
                  <wps:wsp>
                    <wps:cNvSpPr txBox="1"/>
                    <wps:spPr>
                      <a:xfrm>
                        <a:off x="0" y="0"/>
                        <a:ext cx="6312535" cy="685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FBF44" w14:textId="1DD089CC" w:rsidR="008E4CCD" w:rsidRPr="000612C3" w:rsidRDefault="008E4CCD" w:rsidP="00E71A37">
                          <w:pPr>
                            <w:rPr>
                              <w:rFonts w:eastAsiaTheme="minorHAnsi"/>
                              <w:sz w:val="12"/>
                              <w:szCs w:val="12"/>
                              <w:lang w:val="cs-CZ"/>
                            </w:rPr>
                          </w:pPr>
                          <w:r w:rsidRPr="000612C3">
                            <w:rPr>
                              <w:rFonts w:eastAsiaTheme="minorHAnsi"/>
                              <w:sz w:val="12"/>
                              <w:szCs w:val="12"/>
                              <w:lang w:val="cs-CZ"/>
                            </w:rPr>
                            <w:t>Tato tisková zpráva byla financována Evropskou unií. Obsah této vizuální prezentace vyjadřuje pouze názory autora a je na jeho výhradní odpovědnost; nelze ji považovat za vyjádření názorů Evropské komise a/nebo Evropské rady pro inovace a Výkonné agentury pro malé a střední podniky (EISMEA) nebo jakéhokoli jiného orgánu Evropské unie. Evropská komise a agentura nenesou žádnou odpovědnost za případné využití informací v něm obsažených.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360DE" id="_x0000_t202" coordsize="21600,21600" o:spt="202" path="m,l,21600r21600,l21600,xe">
              <v:stroke joinstyle="miter"/>
              <v:path gradientshapeok="t" o:connecttype="rect"/>
            </v:shapetype>
            <v:shape id="Textfeld 41" o:spid="_x0000_s1026" type="#_x0000_t202" style="position:absolute;margin-left:-7.5pt;margin-top:4.2pt;width:497.05pt;height:5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" filled="f" stroked="f">
              <v:textbox>
                <w:txbxContent>
                  <w:p w14:paraId="7EBFBF44" w14:textId="1DD089CC" w:rsidR="008E4CCD" w:rsidRPr="000612C3" w:rsidRDefault="008E4CCD" w:rsidP="00E71A37">
                    <w:pPr>
                      <w:rPr>
                        <w:rFonts w:eastAsiaTheme="minorHAnsi"/>
                        <w:sz w:val="12"/>
                        <w:szCs w:val="12"/>
                        <w:lang w:val="cs-CZ"/>
                      </w:rPr>
                    </w:pPr>
                    <w:r w:rsidRPr="000612C3">
                      <w:rPr>
                        <w:rFonts w:eastAsiaTheme="minorHAnsi"/>
                        <w:sz w:val="12"/>
                        <w:szCs w:val="12"/>
                        <w:lang w:val="cs-CZ"/>
                      </w:rPr>
                      <w:t>Tato tisková zpráva byla financována Evropskou unií. Obsah této vizuální prezentace vyjadřuje pouze názory autora a je na jeho výhradní odpovědnost; nelze ji považovat za vyjádření názorů Evropské komise a/nebo Evropské rady pro inovace a Výkonné agentury pro malé a střední podniky (EISMEA) nebo jakéhokoli jiného orgánu Evropské unie. Evropská komise a agentura nenesou žádnou odpovědnost za případné využití informací v něm obsažených.</w:t>
                    </w:r>
                  </w:p>
                </w:txbxContent>
              </v:textbox>
            </v:shape>
          </w:pict>
        </mc:Fallback>
      </mc:AlternateContent>
    </w:r>
    <w:r>
      <w:rPr>
        <w:noProof/>
        <w:lang w:val="cs-CZ" w:eastAsia="cs-CZ"/>
      </w:rPr>
      <mc:AlternateContent>
        <mc:Choice Requires="wps">
          <w:drawing>
            <wp:anchor distT="0" distB="0" distL="114300" distR="114300" simplePos="0" relativeHeight="251664896" behindDoc="0" locked="0" layoutInCell="1" allowOverlap="1" wp14:anchorId="6B399323" wp14:editId="6214C26C">
              <wp:simplePos x="0" y="0"/>
              <wp:positionH relativeFrom="column">
                <wp:posOffset>-720090</wp:posOffset>
              </wp:positionH>
              <wp:positionV relativeFrom="paragraph">
                <wp:posOffset>428625</wp:posOffset>
              </wp:positionV>
              <wp:extent cx="7562850" cy="76200"/>
              <wp:effectExtent l="0" t="0" r="0" b="0"/>
              <wp:wrapNone/>
              <wp:docPr id="4" name="Rechteck 4"/>
              <wp:cNvGraphicFramePr/>
              <a:graphic xmlns:a="http://schemas.openxmlformats.org/drawingml/2006/main">
                <a:graphicData uri="http://schemas.microsoft.com/office/word/2010/wordprocessingShape">
                  <wps:wsp>
                    <wps:cNvSpPr/>
                    <wps:spPr>
                      <a:xfrm>
                        <a:off x="0" y="0"/>
                        <a:ext cx="7562850" cy="76200"/>
                      </a:xfrm>
                      <a:prstGeom prst="rect">
                        <a:avLst/>
                      </a:prstGeom>
                      <a:solidFill>
                        <a:srgbClr val="0056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C227A2" id="Rechteck 4" o:spid="_x0000_s1026" style="position:absolute;margin-left:-56.7pt;margin-top:33.75pt;width:595.5pt;height:6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" fillcolor="#005698"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D980AC" w14:textId="77777777" w:rsidR="003D4AB3" w:rsidRDefault="003D4AB3">
      <w:r>
        <w:separator/>
      </w:r>
    </w:p>
  </w:footnote>
  <w:footnote w:type="continuationSeparator" w:id="0">
    <w:p w14:paraId="440EB270" w14:textId="77777777" w:rsidR="003D4AB3" w:rsidRDefault="003D4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94799" w14:textId="44FEE641" w:rsidR="008E4CCD" w:rsidRDefault="008E4CCD">
    <w:pPr>
      <w:pStyle w:val="Zkladntext"/>
      <w:spacing w:line="14" w:lineRule="auto"/>
    </w:pPr>
    <w:r>
      <w:rPr>
        <w:noProof/>
        <w:lang w:val="cs-CZ" w:eastAsia="cs-CZ"/>
      </w:rPr>
      <w:drawing>
        <wp:anchor distT="0" distB="0" distL="114300" distR="114300" simplePos="0" relativeHeight="251659776" behindDoc="0" locked="0" layoutInCell="1" allowOverlap="1" wp14:anchorId="2D5EFDB0" wp14:editId="03B1D94C">
          <wp:simplePos x="0" y="0"/>
          <wp:positionH relativeFrom="column">
            <wp:posOffset>2646771</wp:posOffset>
          </wp:positionH>
          <wp:positionV relativeFrom="paragraph">
            <wp:posOffset>-123825</wp:posOffset>
          </wp:positionV>
          <wp:extent cx="2041072" cy="451361"/>
          <wp:effectExtent l="0" t="0" r="0" b="6350"/>
          <wp:wrapNone/>
          <wp:docPr id="37" name="obrázek 1" descr="C:\Users\otichota\AppData\Local\Microsoft\Windows\INetCache\Content.Word\CS Spolufinancováno Evropskou unií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chota\AppData\Local\Microsoft\Windows\INetCache\Content.Word\CS Spolufinancováno Evropskou unií_POS.jpg"/>
                  <pic:cNvPicPr>
                    <a:picLocks noChangeAspect="1" noChangeArrowheads="1"/>
                  </pic:cNvPicPr>
                </pic:nvPicPr>
                <pic:blipFill rotWithShape="1">
                  <a:blip r:embed="rId1">
                    <a:extLst>
                      <a:ext uri="{28A0092B-C50C-407E-A947-70E740481C1C}">
                        <a14:useLocalDpi xmlns:a14="http://schemas.microsoft.com/office/drawing/2010/main" val="0"/>
                      </a:ext>
                    </a:extLst>
                  </a:blip>
                  <a:srcRect r="5325"/>
                  <a:stretch/>
                </pic:blipFill>
                <pic:spPr bwMode="auto">
                  <a:xfrm>
                    <a:off x="0" y="0"/>
                    <a:ext cx="2041072" cy="4513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i/>
        <w:noProof/>
        <w:lang w:val="cs-CZ" w:eastAsia="cs-CZ"/>
      </w:rPr>
      <w:drawing>
        <wp:anchor distT="0" distB="0" distL="114300" distR="114300" simplePos="0" relativeHeight="251657728" behindDoc="0" locked="0" layoutInCell="1" allowOverlap="1" wp14:anchorId="11ED3E76" wp14:editId="57F23822">
          <wp:simplePos x="0" y="0"/>
          <wp:positionH relativeFrom="column">
            <wp:posOffset>4827270</wp:posOffset>
          </wp:positionH>
          <wp:positionV relativeFrom="paragraph">
            <wp:posOffset>-320040</wp:posOffset>
          </wp:positionV>
          <wp:extent cx="1295400" cy="670609"/>
          <wp:effectExtent l="0" t="0" r="0" b="0"/>
          <wp:wrapNone/>
          <wp:docPr id="38" name="Obrázek 38" descr="C:\Users\otichota\AppData\Local\Microsoft\Windows\INetCache\Content.Word\LOGO_ECC-Net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ichota\AppData\Local\Microsoft\Windows\INetCache\Content.Word\LOGO_ECC-Net_CZ.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95400" cy="6706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mc:AlternateContent>
        <mc:Choice Requires="wps">
          <w:drawing>
            <wp:anchor distT="0" distB="0" distL="114300" distR="114300" simplePos="0" relativeHeight="251649536" behindDoc="1" locked="0" layoutInCell="1" allowOverlap="1" wp14:anchorId="14DF7292" wp14:editId="02606013">
              <wp:simplePos x="0" y="0"/>
              <wp:positionH relativeFrom="page">
                <wp:posOffset>5833110</wp:posOffset>
              </wp:positionH>
              <wp:positionV relativeFrom="page">
                <wp:posOffset>467360</wp:posOffset>
              </wp:positionV>
              <wp:extent cx="3175" cy="1270"/>
              <wp:effectExtent l="3810" t="0" r="18415" b="13970"/>
              <wp:wrapNone/>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0 9186 9186"/>
                          <a:gd name="T1" fmla="*/ T0 w 5"/>
                          <a:gd name="T2" fmla="+- 0 737 737"/>
                          <a:gd name="T3" fmla="*/ 737 h 2"/>
                          <a:gd name="T4" fmla="+- 0 9189 9186"/>
                          <a:gd name="T5" fmla="*/ T4 w 5"/>
                          <a:gd name="T6" fmla="+- 0 738 737"/>
                          <a:gd name="T7" fmla="*/ 738 h 2"/>
                          <a:gd name="T8" fmla="+- 0 9191 9186"/>
                          <a:gd name="T9" fmla="*/ T8 w 5"/>
                          <a:gd name="T10" fmla="+- 0 739 737"/>
                          <a:gd name="T11" fmla="*/ 739 h 2"/>
                          <a:gd name="T12" fmla="+- 0 9189 9186"/>
                          <a:gd name="T13" fmla="*/ T12 w 5"/>
                          <a:gd name="T14" fmla="+- 0 738 737"/>
                          <a:gd name="T15" fmla="*/ 738 h 2"/>
                          <a:gd name="T16" fmla="+- 0 9186 9186"/>
                          <a:gd name="T17" fmla="*/ T16 w 5"/>
                          <a:gd name="T18" fmla="+- 0 737 737"/>
                          <a:gd name="T19" fmla="*/ 737 h 2"/>
                        </a:gdLst>
                        <a:ahLst/>
                        <a:cxnLst>
                          <a:cxn ang="0">
                            <a:pos x="T1" y="T3"/>
                          </a:cxn>
                          <a:cxn ang="0">
                            <a:pos x="T5" y="T7"/>
                          </a:cxn>
                          <a:cxn ang="0">
                            <a:pos x="T9" y="T11"/>
                          </a:cxn>
                          <a:cxn ang="0">
                            <a:pos x="T13" y="T15"/>
                          </a:cxn>
                          <a:cxn ang="0">
                            <a:pos x="T17" y="T19"/>
                          </a:cxn>
                        </a:cxnLst>
                        <a:rect l="0" t="0" r="r" b="b"/>
                        <a:pathLst>
                          <a:path w="5" h="2">
                            <a:moveTo>
                              <a:pt x="0" y="0"/>
                            </a:moveTo>
                            <a:lnTo>
                              <a:pt x="3" y="1"/>
                            </a:lnTo>
                            <a:lnTo>
                              <a:pt x="5" y="2"/>
                            </a:lnTo>
                            <a:lnTo>
                              <a:pt x="3" y="1"/>
                            </a:lnTo>
                            <a:lnTo>
                              <a:pt x="0" y="0"/>
                            </a:lnTo>
                            <a:close/>
                          </a:path>
                        </a:pathLst>
                      </a:custGeom>
                      <a:solidFill>
                        <a:srgbClr val="005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E423C" id="Freeform 3" o:spid="_x0000_s1026" style="position:absolute;margin-left:459.3pt;margin-top:36.8pt;width:.25pt;height:.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" path="m,l3,1,5,2,3,1,,xe" fillcolor="#005598" stroked="f">
              <v:path arrowok="t" o:connecttype="custom" o:connectlocs="0,467995;1905,468630;3175,469265;1905,468630;0,467995" o:connectangles="0,0,0,0,0"/>
              <w10:wrap anchorx="page" anchory="page"/>
            </v:shape>
          </w:pict>
        </mc:Fallback>
      </mc:AlternateContent>
    </w:r>
    <w:r>
      <w:softHyphen/>
    </w:r>
    <w:r>
      <w:softHyphen/>
    </w:r>
    <w:r>
      <w:softHyphen/>
    </w: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B52EF"/>
    <w:multiLevelType w:val="hybridMultilevel"/>
    <w:tmpl w:val="DE4E16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BD4213"/>
    <w:multiLevelType w:val="hybridMultilevel"/>
    <w:tmpl w:val="69FC5E20"/>
    <w:lvl w:ilvl="0" w:tplc="19588CF8">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C0E159A"/>
    <w:multiLevelType w:val="hybridMultilevel"/>
    <w:tmpl w:val="E4A65F76"/>
    <w:lvl w:ilvl="0" w:tplc="19588CF8">
      <w:numFmt w:val="bullet"/>
      <w:lvlText w:val="-"/>
      <w:lvlJc w:val="left"/>
      <w:pPr>
        <w:ind w:left="1080" w:hanging="360"/>
      </w:pPr>
      <w:rPr>
        <w:rFonts w:ascii="Arial" w:eastAsia="Arial"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0F056FCB"/>
    <w:multiLevelType w:val="hybridMultilevel"/>
    <w:tmpl w:val="12AA66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B5163F"/>
    <w:multiLevelType w:val="hybridMultilevel"/>
    <w:tmpl w:val="50901714"/>
    <w:lvl w:ilvl="0" w:tplc="347A780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CC71806"/>
    <w:multiLevelType w:val="hybridMultilevel"/>
    <w:tmpl w:val="D97606B8"/>
    <w:lvl w:ilvl="0" w:tplc="B356990C">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35B5962"/>
    <w:multiLevelType w:val="hybridMultilevel"/>
    <w:tmpl w:val="AE4C2BCA"/>
    <w:lvl w:ilvl="0" w:tplc="69C06D3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50F379E"/>
    <w:multiLevelType w:val="hybridMultilevel"/>
    <w:tmpl w:val="E8A6E0C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37130BC7"/>
    <w:multiLevelType w:val="hybridMultilevel"/>
    <w:tmpl w:val="242E3B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D8B2449"/>
    <w:multiLevelType w:val="hybridMultilevel"/>
    <w:tmpl w:val="9A088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1BA0B88"/>
    <w:multiLevelType w:val="hybridMultilevel"/>
    <w:tmpl w:val="0CD810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80A31B7"/>
    <w:multiLevelType w:val="hybridMultilevel"/>
    <w:tmpl w:val="49FC9F40"/>
    <w:lvl w:ilvl="0" w:tplc="19588CF8">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C946131"/>
    <w:multiLevelType w:val="hybridMultilevel"/>
    <w:tmpl w:val="8214E0F0"/>
    <w:lvl w:ilvl="0" w:tplc="8258072C">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13C0F8C"/>
    <w:multiLevelType w:val="hybridMultilevel"/>
    <w:tmpl w:val="564E72B8"/>
    <w:lvl w:ilvl="0" w:tplc="69C06D3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1472008"/>
    <w:multiLevelType w:val="multilevel"/>
    <w:tmpl w:val="277409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7E6591"/>
    <w:multiLevelType w:val="hybridMultilevel"/>
    <w:tmpl w:val="BB620EDA"/>
    <w:lvl w:ilvl="0" w:tplc="7C5674A8">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9260A18"/>
    <w:multiLevelType w:val="hybridMultilevel"/>
    <w:tmpl w:val="9578C4D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7A4340CE"/>
    <w:multiLevelType w:val="hybridMultilevel"/>
    <w:tmpl w:val="A3A46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A6E219F"/>
    <w:multiLevelType w:val="hybridMultilevel"/>
    <w:tmpl w:val="25FC8290"/>
    <w:lvl w:ilvl="0" w:tplc="347A780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ED46F82"/>
    <w:multiLevelType w:val="hybridMultilevel"/>
    <w:tmpl w:val="F5242CA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2"/>
  </w:num>
  <w:num w:numId="4">
    <w:abstractNumId w:val="15"/>
  </w:num>
  <w:num w:numId="5">
    <w:abstractNumId w:val="5"/>
  </w:num>
  <w:num w:numId="6">
    <w:abstractNumId w:val="6"/>
  </w:num>
  <w:num w:numId="7">
    <w:abstractNumId w:val="13"/>
  </w:num>
  <w:num w:numId="8">
    <w:abstractNumId w:val="18"/>
  </w:num>
  <w:num w:numId="9">
    <w:abstractNumId w:val="4"/>
  </w:num>
  <w:num w:numId="10">
    <w:abstractNumId w:val="10"/>
  </w:num>
  <w:num w:numId="11">
    <w:abstractNumId w:val="17"/>
  </w:num>
  <w:num w:numId="12">
    <w:abstractNumId w:val="16"/>
  </w:num>
  <w:num w:numId="13">
    <w:abstractNumId w:val="8"/>
  </w:num>
  <w:num w:numId="14">
    <w:abstractNumId w:val="1"/>
  </w:num>
  <w:num w:numId="15">
    <w:abstractNumId w:val="2"/>
  </w:num>
  <w:num w:numId="16">
    <w:abstractNumId w:val="7"/>
  </w:num>
  <w:num w:numId="17">
    <w:abstractNumId w:val="0"/>
  </w:num>
  <w:num w:numId="18">
    <w:abstractNumId w:val="11"/>
  </w:num>
  <w:num w:numId="19">
    <w:abstractNumId w:val="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174"/>
    <w:rsid w:val="000026D5"/>
    <w:rsid w:val="00004431"/>
    <w:rsid w:val="00004593"/>
    <w:rsid w:val="000056B3"/>
    <w:rsid w:val="00005B6E"/>
    <w:rsid w:val="00011A8A"/>
    <w:rsid w:val="00012D24"/>
    <w:rsid w:val="00033AF4"/>
    <w:rsid w:val="00037C66"/>
    <w:rsid w:val="00044F81"/>
    <w:rsid w:val="000612C3"/>
    <w:rsid w:val="000649AC"/>
    <w:rsid w:val="000715A4"/>
    <w:rsid w:val="00081464"/>
    <w:rsid w:val="00081513"/>
    <w:rsid w:val="0008523A"/>
    <w:rsid w:val="000907EE"/>
    <w:rsid w:val="00094D9F"/>
    <w:rsid w:val="000A56D8"/>
    <w:rsid w:val="000B103F"/>
    <w:rsid w:val="000B2E18"/>
    <w:rsid w:val="000B434F"/>
    <w:rsid w:val="000C068F"/>
    <w:rsid w:val="000C0E85"/>
    <w:rsid w:val="000C2026"/>
    <w:rsid w:val="000C6BA7"/>
    <w:rsid w:val="000D257C"/>
    <w:rsid w:val="000E6E70"/>
    <w:rsid w:val="00105405"/>
    <w:rsid w:val="00106724"/>
    <w:rsid w:val="0011250B"/>
    <w:rsid w:val="0012227E"/>
    <w:rsid w:val="00124D39"/>
    <w:rsid w:val="00161D76"/>
    <w:rsid w:val="001679CC"/>
    <w:rsid w:val="00174176"/>
    <w:rsid w:val="00175A6D"/>
    <w:rsid w:val="00181F51"/>
    <w:rsid w:val="00191131"/>
    <w:rsid w:val="001A5FC4"/>
    <w:rsid w:val="001B4073"/>
    <w:rsid w:val="001B51EA"/>
    <w:rsid w:val="001B71FD"/>
    <w:rsid w:val="001C4DF9"/>
    <w:rsid w:val="001D00E1"/>
    <w:rsid w:val="001D0B08"/>
    <w:rsid w:val="001E73BE"/>
    <w:rsid w:val="0020080F"/>
    <w:rsid w:val="00201D42"/>
    <w:rsid w:val="002029CC"/>
    <w:rsid w:val="00205FFB"/>
    <w:rsid w:val="002103D5"/>
    <w:rsid w:val="00220E0F"/>
    <w:rsid w:val="002310B7"/>
    <w:rsid w:val="0023492C"/>
    <w:rsid w:val="002404C2"/>
    <w:rsid w:val="00240F7B"/>
    <w:rsid w:val="00246C93"/>
    <w:rsid w:val="00247EB3"/>
    <w:rsid w:val="00250AA9"/>
    <w:rsid w:val="00255A9B"/>
    <w:rsid w:val="00257733"/>
    <w:rsid w:val="002716A7"/>
    <w:rsid w:val="0027678A"/>
    <w:rsid w:val="00281D9F"/>
    <w:rsid w:val="00283B11"/>
    <w:rsid w:val="00290B9A"/>
    <w:rsid w:val="002B65BE"/>
    <w:rsid w:val="002C5F53"/>
    <w:rsid w:val="002D2CB5"/>
    <w:rsid w:val="002E5BBB"/>
    <w:rsid w:val="002E69BC"/>
    <w:rsid w:val="002F08B3"/>
    <w:rsid w:val="002F1D1E"/>
    <w:rsid w:val="00300EDB"/>
    <w:rsid w:val="003018E2"/>
    <w:rsid w:val="00305927"/>
    <w:rsid w:val="00305F06"/>
    <w:rsid w:val="00321E4F"/>
    <w:rsid w:val="00325892"/>
    <w:rsid w:val="00326A99"/>
    <w:rsid w:val="003278DE"/>
    <w:rsid w:val="00331281"/>
    <w:rsid w:val="00334F67"/>
    <w:rsid w:val="0034406A"/>
    <w:rsid w:val="00353205"/>
    <w:rsid w:val="00363214"/>
    <w:rsid w:val="003643C9"/>
    <w:rsid w:val="003715E9"/>
    <w:rsid w:val="003747EC"/>
    <w:rsid w:val="00375D18"/>
    <w:rsid w:val="0037673F"/>
    <w:rsid w:val="00385271"/>
    <w:rsid w:val="00386CB0"/>
    <w:rsid w:val="0039318D"/>
    <w:rsid w:val="003949D5"/>
    <w:rsid w:val="003974DB"/>
    <w:rsid w:val="003A23AA"/>
    <w:rsid w:val="003A7DB4"/>
    <w:rsid w:val="003B6BEB"/>
    <w:rsid w:val="003C46C4"/>
    <w:rsid w:val="003D4AB3"/>
    <w:rsid w:val="003D6D2A"/>
    <w:rsid w:val="003D6FE6"/>
    <w:rsid w:val="003D7504"/>
    <w:rsid w:val="003E4A85"/>
    <w:rsid w:val="003E63CD"/>
    <w:rsid w:val="003F0043"/>
    <w:rsid w:val="003F2BB7"/>
    <w:rsid w:val="004051AE"/>
    <w:rsid w:val="0040707D"/>
    <w:rsid w:val="00415ABE"/>
    <w:rsid w:val="00416B78"/>
    <w:rsid w:val="00421DE4"/>
    <w:rsid w:val="00430DB6"/>
    <w:rsid w:val="00431AF9"/>
    <w:rsid w:val="00444C34"/>
    <w:rsid w:val="004505CD"/>
    <w:rsid w:val="00470CD5"/>
    <w:rsid w:val="004913EA"/>
    <w:rsid w:val="00493FB2"/>
    <w:rsid w:val="004972A4"/>
    <w:rsid w:val="004A05F1"/>
    <w:rsid w:val="004A4E3D"/>
    <w:rsid w:val="004B4FE6"/>
    <w:rsid w:val="004C4518"/>
    <w:rsid w:val="004C4A8B"/>
    <w:rsid w:val="004D6EA9"/>
    <w:rsid w:val="004E3A87"/>
    <w:rsid w:val="004E5875"/>
    <w:rsid w:val="004E5BF8"/>
    <w:rsid w:val="004E6FAF"/>
    <w:rsid w:val="005009CA"/>
    <w:rsid w:val="00512129"/>
    <w:rsid w:val="00520C52"/>
    <w:rsid w:val="00521755"/>
    <w:rsid w:val="005312C0"/>
    <w:rsid w:val="0053173D"/>
    <w:rsid w:val="0054298C"/>
    <w:rsid w:val="00543C28"/>
    <w:rsid w:val="00545EF5"/>
    <w:rsid w:val="00551D7F"/>
    <w:rsid w:val="00551DAD"/>
    <w:rsid w:val="005573FD"/>
    <w:rsid w:val="00563DA5"/>
    <w:rsid w:val="00577A55"/>
    <w:rsid w:val="005823CD"/>
    <w:rsid w:val="005851E1"/>
    <w:rsid w:val="005A51E8"/>
    <w:rsid w:val="005A6088"/>
    <w:rsid w:val="005A656A"/>
    <w:rsid w:val="005B0E71"/>
    <w:rsid w:val="005B5E03"/>
    <w:rsid w:val="005C3076"/>
    <w:rsid w:val="005C30A1"/>
    <w:rsid w:val="005D454D"/>
    <w:rsid w:val="005F2243"/>
    <w:rsid w:val="005F3059"/>
    <w:rsid w:val="00604458"/>
    <w:rsid w:val="00605788"/>
    <w:rsid w:val="00612671"/>
    <w:rsid w:val="00631A38"/>
    <w:rsid w:val="00636418"/>
    <w:rsid w:val="006444F6"/>
    <w:rsid w:val="00645968"/>
    <w:rsid w:val="00656835"/>
    <w:rsid w:val="0066275C"/>
    <w:rsid w:val="00665B36"/>
    <w:rsid w:val="00677274"/>
    <w:rsid w:val="00684F62"/>
    <w:rsid w:val="00687B62"/>
    <w:rsid w:val="00690395"/>
    <w:rsid w:val="00690929"/>
    <w:rsid w:val="006A23BF"/>
    <w:rsid w:val="006A55FE"/>
    <w:rsid w:val="006B286C"/>
    <w:rsid w:val="006B4DE3"/>
    <w:rsid w:val="006D2436"/>
    <w:rsid w:val="006D3121"/>
    <w:rsid w:val="006D58C1"/>
    <w:rsid w:val="006E2A7E"/>
    <w:rsid w:val="006F4F13"/>
    <w:rsid w:val="007111E8"/>
    <w:rsid w:val="00717A17"/>
    <w:rsid w:val="007208B4"/>
    <w:rsid w:val="007213E3"/>
    <w:rsid w:val="007373A0"/>
    <w:rsid w:val="00742597"/>
    <w:rsid w:val="00761075"/>
    <w:rsid w:val="00764BE4"/>
    <w:rsid w:val="00773887"/>
    <w:rsid w:val="00794BA3"/>
    <w:rsid w:val="007A799A"/>
    <w:rsid w:val="007B58A4"/>
    <w:rsid w:val="007C5A9D"/>
    <w:rsid w:val="007C61E9"/>
    <w:rsid w:val="007D174A"/>
    <w:rsid w:val="007D6A06"/>
    <w:rsid w:val="007E162D"/>
    <w:rsid w:val="007E1E6F"/>
    <w:rsid w:val="007E53B0"/>
    <w:rsid w:val="007E6538"/>
    <w:rsid w:val="007F227B"/>
    <w:rsid w:val="00801AC9"/>
    <w:rsid w:val="00804ED5"/>
    <w:rsid w:val="008220E4"/>
    <w:rsid w:val="0082217C"/>
    <w:rsid w:val="00823954"/>
    <w:rsid w:val="00823FCB"/>
    <w:rsid w:val="0083168F"/>
    <w:rsid w:val="008422E7"/>
    <w:rsid w:val="008540DB"/>
    <w:rsid w:val="00856432"/>
    <w:rsid w:val="008604C2"/>
    <w:rsid w:val="0086179E"/>
    <w:rsid w:val="008712BC"/>
    <w:rsid w:val="008746D5"/>
    <w:rsid w:val="00881A17"/>
    <w:rsid w:val="008834A7"/>
    <w:rsid w:val="00891529"/>
    <w:rsid w:val="008940C5"/>
    <w:rsid w:val="008A1F7D"/>
    <w:rsid w:val="008A4082"/>
    <w:rsid w:val="008B0F84"/>
    <w:rsid w:val="008B3D8C"/>
    <w:rsid w:val="008B716E"/>
    <w:rsid w:val="008C00B8"/>
    <w:rsid w:val="008C1355"/>
    <w:rsid w:val="008C1AD7"/>
    <w:rsid w:val="008C2F43"/>
    <w:rsid w:val="008C7EB9"/>
    <w:rsid w:val="008E4CCD"/>
    <w:rsid w:val="008F2E38"/>
    <w:rsid w:val="00904353"/>
    <w:rsid w:val="0092213C"/>
    <w:rsid w:val="009308B5"/>
    <w:rsid w:val="00934787"/>
    <w:rsid w:val="00935411"/>
    <w:rsid w:val="0094360E"/>
    <w:rsid w:val="00943FD0"/>
    <w:rsid w:val="00966816"/>
    <w:rsid w:val="009769A7"/>
    <w:rsid w:val="00982641"/>
    <w:rsid w:val="00991B85"/>
    <w:rsid w:val="009B5F46"/>
    <w:rsid w:val="009C2512"/>
    <w:rsid w:val="009C261D"/>
    <w:rsid w:val="009D31EC"/>
    <w:rsid w:val="009E7A39"/>
    <w:rsid w:val="009F0641"/>
    <w:rsid w:val="00A031C6"/>
    <w:rsid w:val="00A0321A"/>
    <w:rsid w:val="00A230CD"/>
    <w:rsid w:val="00A24F34"/>
    <w:rsid w:val="00A273D4"/>
    <w:rsid w:val="00A350C1"/>
    <w:rsid w:val="00A35E95"/>
    <w:rsid w:val="00A37CC5"/>
    <w:rsid w:val="00A432FB"/>
    <w:rsid w:val="00A45A3F"/>
    <w:rsid w:val="00A50333"/>
    <w:rsid w:val="00A5492C"/>
    <w:rsid w:val="00A61CDA"/>
    <w:rsid w:val="00A72FBC"/>
    <w:rsid w:val="00A73392"/>
    <w:rsid w:val="00A75DE7"/>
    <w:rsid w:val="00A777A8"/>
    <w:rsid w:val="00A845AE"/>
    <w:rsid w:val="00A84E46"/>
    <w:rsid w:val="00A8655C"/>
    <w:rsid w:val="00A90987"/>
    <w:rsid w:val="00A92A6C"/>
    <w:rsid w:val="00A95484"/>
    <w:rsid w:val="00AA57D9"/>
    <w:rsid w:val="00AB5E57"/>
    <w:rsid w:val="00AC6870"/>
    <w:rsid w:val="00AC7D34"/>
    <w:rsid w:val="00AD3A7F"/>
    <w:rsid w:val="00AE2D8B"/>
    <w:rsid w:val="00AE50E5"/>
    <w:rsid w:val="00B03407"/>
    <w:rsid w:val="00B03E64"/>
    <w:rsid w:val="00B103FF"/>
    <w:rsid w:val="00B113DA"/>
    <w:rsid w:val="00B13427"/>
    <w:rsid w:val="00B228CC"/>
    <w:rsid w:val="00B35CCC"/>
    <w:rsid w:val="00B37CC7"/>
    <w:rsid w:val="00B500FD"/>
    <w:rsid w:val="00B65210"/>
    <w:rsid w:val="00B71431"/>
    <w:rsid w:val="00B7272E"/>
    <w:rsid w:val="00B74378"/>
    <w:rsid w:val="00B75CAB"/>
    <w:rsid w:val="00B77D75"/>
    <w:rsid w:val="00B8306E"/>
    <w:rsid w:val="00B83AD6"/>
    <w:rsid w:val="00B91805"/>
    <w:rsid w:val="00B94740"/>
    <w:rsid w:val="00BA1F30"/>
    <w:rsid w:val="00BA5C4D"/>
    <w:rsid w:val="00BA6896"/>
    <w:rsid w:val="00BB2C80"/>
    <w:rsid w:val="00BC1F00"/>
    <w:rsid w:val="00BD3303"/>
    <w:rsid w:val="00BD3560"/>
    <w:rsid w:val="00BD48BD"/>
    <w:rsid w:val="00BD6D2C"/>
    <w:rsid w:val="00BE4746"/>
    <w:rsid w:val="00BF7CF8"/>
    <w:rsid w:val="00C0468A"/>
    <w:rsid w:val="00C0552A"/>
    <w:rsid w:val="00C108A0"/>
    <w:rsid w:val="00C13702"/>
    <w:rsid w:val="00C17172"/>
    <w:rsid w:val="00C20C66"/>
    <w:rsid w:val="00C276A1"/>
    <w:rsid w:val="00C34023"/>
    <w:rsid w:val="00C35716"/>
    <w:rsid w:val="00C40529"/>
    <w:rsid w:val="00C46123"/>
    <w:rsid w:val="00C53E07"/>
    <w:rsid w:val="00C6697C"/>
    <w:rsid w:val="00C7586A"/>
    <w:rsid w:val="00C77174"/>
    <w:rsid w:val="00C77B25"/>
    <w:rsid w:val="00C80A25"/>
    <w:rsid w:val="00C841F1"/>
    <w:rsid w:val="00C8625D"/>
    <w:rsid w:val="00C91155"/>
    <w:rsid w:val="00C94ECD"/>
    <w:rsid w:val="00CA6EEA"/>
    <w:rsid w:val="00CB18D1"/>
    <w:rsid w:val="00CB39FB"/>
    <w:rsid w:val="00CB425E"/>
    <w:rsid w:val="00CC0800"/>
    <w:rsid w:val="00CC348C"/>
    <w:rsid w:val="00CC3F7D"/>
    <w:rsid w:val="00CC5615"/>
    <w:rsid w:val="00CC68B0"/>
    <w:rsid w:val="00CD09A2"/>
    <w:rsid w:val="00CD2181"/>
    <w:rsid w:val="00CE16B1"/>
    <w:rsid w:val="00CE32A0"/>
    <w:rsid w:val="00CF7ADC"/>
    <w:rsid w:val="00D00185"/>
    <w:rsid w:val="00D04394"/>
    <w:rsid w:val="00D20FA3"/>
    <w:rsid w:val="00D233CE"/>
    <w:rsid w:val="00D24C02"/>
    <w:rsid w:val="00D40B4A"/>
    <w:rsid w:val="00D51611"/>
    <w:rsid w:val="00D51D99"/>
    <w:rsid w:val="00D63751"/>
    <w:rsid w:val="00D76907"/>
    <w:rsid w:val="00D86992"/>
    <w:rsid w:val="00D86DCB"/>
    <w:rsid w:val="00D91444"/>
    <w:rsid w:val="00D93DD9"/>
    <w:rsid w:val="00D95BC9"/>
    <w:rsid w:val="00D97BD5"/>
    <w:rsid w:val="00DA3999"/>
    <w:rsid w:val="00DB04FD"/>
    <w:rsid w:val="00DB6671"/>
    <w:rsid w:val="00DB6EE3"/>
    <w:rsid w:val="00DB7F18"/>
    <w:rsid w:val="00DC1C26"/>
    <w:rsid w:val="00DC5F45"/>
    <w:rsid w:val="00DD123B"/>
    <w:rsid w:val="00DD1828"/>
    <w:rsid w:val="00DD1AE6"/>
    <w:rsid w:val="00DD2DE2"/>
    <w:rsid w:val="00DD7967"/>
    <w:rsid w:val="00DF0E16"/>
    <w:rsid w:val="00DF57D1"/>
    <w:rsid w:val="00E20A9F"/>
    <w:rsid w:val="00E371B0"/>
    <w:rsid w:val="00E5342A"/>
    <w:rsid w:val="00E66708"/>
    <w:rsid w:val="00E71A37"/>
    <w:rsid w:val="00E75E03"/>
    <w:rsid w:val="00E76E2B"/>
    <w:rsid w:val="00E772AB"/>
    <w:rsid w:val="00E83081"/>
    <w:rsid w:val="00E87283"/>
    <w:rsid w:val="00E9447C"/>
    <w:rsid w:val="00EA6F00"/>
    <w:rsid w:val="00EB3C92"/>
    <w:rsid w:val="00ED553B"/>
    <w:rsid w:val="00ED7EC5"/>
    <w:rsid w:val="00EE0EAE"/>
    <w:rsid w:val="00EE1663"/>
    <w:rsid w:val="00EE41A1"/>
    <w:rsid w:val="00EE7885"/>
    <w:rsid w:val="00F105F1"/>
    <w:rsid w:val="00F14644"/>
    <w:rsid w:val="00F27B07"/>
    <w:rsid w:val="00F32C52"/>
    <w:rsid w:val="00F33902"/>
    <w:rsid w:val="00F37F34"/>
    <w:rsid w:val="00F40998"/>
    <w:rsid w:val="00F47311"/>
    <w:rsid w:val="00F57989"/>
    <w:rsid w:val="00F70E3C"/>
    <w:rsid w:val="00F72C81"/>
    <w:rsid w:val="00F84311"/>
    <w:rsid w:val="00F8507C"/>
    <w:rsid w:val="00F87647"/>
    <w:rsid w:val="00F905C0"/>
    <w:rsid w:val="00F92B64"/>
    <w:rsid w:val="00FA0EEF"/>
    <w:rsid w:val="00FA6793"/>
    <w:rsid w:val="00FB2364"/>
    <w:rsid w:val="00FB2DBD"/>
    <w:rsid w:val="00FB3250"/>
    <w:rsid w:val="00FC4AE3"/>
    <w:rsid w:val="00FC6B79"/>
    <w:rsid w:val="00FC74E7"/>
    <w:rsid w:val="00FE61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063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Arial" w:eastAsia="Arial" w:hAnsi="Arial" w:cs="Arial"/>
    </w:rPr>
  </w:style>
  <w:style w:type="paragraph" w:styleId="Nadpis1">
    <w:name w:val="heading 1"/>
    <w:basedOn w:val="Normln"/>
    <w:link w:val="Nadpis1Char"/>
    <w:uiPriority w:val="9"/>
    <w:qFormat/>
    <w:rsid w:val="00966816"/>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cs-CZ" w:eastAsia="cs-CZ"/>
    </w:rPr>
  </w:style>
  <w:style w:type="paragraph" w:styleId="Nadpis2">
    <w:name w:val="heading 2"/>
    <w:basedOn w:val="Normln"/>
    <w:next w:val="Normln"/>
    <w:link w:val="Nadpis2Char"/>
    <w:uiPriority w:val="9"/>
    <w:unhideWhenUsed/>
    <w:qFormat/>
    <w:rsid w:val="006D58C1"/>
    <w:pPr>
      <w:keepNext/>
      <w:keepLines/>
      <w:widowControl/>
      <w:autoSpaceDE/>
      <w:autoSpaceDN/>
      <w:spacing w:before="40" w:line="259" w:lineRule="auto"/>
      <w:outlineLvl w:val="1"/>
    </w:pPr>
    <w:rPr>
      <w:rFonts w:asciiTheme="majorHAnsi" w:eastAsiaTheme="majorEastAsia" w:hAnsiTheme="majorHAnsi" w:cstheme="majorBidi"/>
      <w:color w:val="365F91" w:themeColor="accent1" w:themeShade="BF"/>
      <w:sz w:val="26"/>
      <w:szCs w:val="26"/>
      <w:lang w:val="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basedOn w:val="Normln"/>
    <w:uiPriority w:val="34"/>
    <w:qFormat/>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F40998"/>
    <w:pPr>
      <w:tabs>
        <w:tab w:val="center" w:pos="4536"/>
        <w:tab w:val="right" w:pos="9072"/>
      </w:tabs>
    </w:pPr>
  </w:style>
  <w:style w:type="character" w:customStyle="1" w:styleId="ZhlavChar">
    <w:name w:val="Záhlaví Char"/>
    <w:basedOn w:val="Standardnpsmoodstavce"/>
    <w:link w:val="Zhlav"/>
    <w:uiPriority w:val="99"/>
    <w:rsid w:val="00F40998"/>
    <w:rPr>
      <w:rFonts w:ascii="Arial" w:eastAsia="Arial" w:hAnsi="Arial" w:cs="Arial"/>
    </w:rPr>
  </w:style>
  <w:style w:type="paragraph" w:styleId="Zpat">
    <w:name w:val="footer"/>
    <w:basedOn w:val="Normln"/>
    <w:link w:val="ZpatChar"/>
    <w:uiPriority w:val="99"/>
    <w:unhideWhenUsed/>
    <w:rsid w:val="00F40998"/>
    <w:pPr>
      <w:tabs>
        <w:tab w:val="center" w:pos="4536"/>
        <w:tab w:val="right" w:pos="9072"/>
      </w:tabs>
    </w:pPr>
  </w:style>
  <w:style w:type="character" w:customStyle="1" w:styleId="ZpatChar">
    <w:name w:val="Zápatí Char"/>
    <w:basedOn w:val="Standardnpsmoodstavce"/>
    <w:link w:val="Zpat"/>
    <w:uiPriority w:val="99"/>
    <w:rsid w:val="00F40998"/>
    <w:rPr>
      <w:rFonts w:ascii="Arial" w:eastAsia="Arial" w:hAnsi="Arial" w:cs="Arial"/>
    </w:rPr>
  </w:style>
  <w:style w:type="paragraph" w:customStyle="1" w:styleId="EinfAbs">
    <w:name w:val="[Einf. Abs.]"/>
    <w:basedOn w:val="Normln"/>
    <w:uiPriority w:val="99"/>
    <w:rsid w:val="00C34023"/>
    <w:pPr>
      <w:adjustRightInd w:val="0"/>
      <w:spacing w:line="288" w:lineRule="auto"/>
      <w:textAlignment w:val="center"/>
    </w:pPr>
    <w:rPr>
      <w:rFonts w:ascii="MinionPro-Regular" w:eastAsiaTheme="minorHAnsi" w:hAnsi="MinionPro-Regular" w:cs="MinionPro-Regular"/>
      <w:color w:val="000000"/>
      <w:sz w:val="24"/>
      <w:szCs w:val="24"/>
      <w:lang w:val="fr-FR"/>
    </w:rPr>
  </w:style>
  <w:style w:type="character" w:styleId="Hypertextovodkaz">
    <w:name w:val="Hyperlink"/>
    <w:uiPriority w:val="99"/>
    <w:unhideWhenUsed/>
    <w:rsid w:val="00DD1828"/>
    <w:rPr>
      <w:color w:val="0000FF"/>
      <w:u w:val="single"/>
    </w:rPr>
  </w:style>
  <w:style w:type="character" w:customStyle="1" w:styleId="tagtrans">
    <w:name w:val="tag_trans"/>
    <w:rsid w:val="008C1AD7"/>
  </w:style>
  <w:style w:type="character" w:customStyle="1" w:styleId="tagt">
    <w:name w:val="tag_t"/>
    <w:rsid w:val="008C1AD7"/>
  </w:style>
  <w:style w:type="character" w:customStyle="1" w:styleId="span9">
    <w:name w:val="span9"/>
    <w:rsid w:val="008C1AD7"/>
  </w:style>
  <w:style w:type="character" w:customStyle="1" w:styleId="apple-converted-space">
    <w:name w:val="apple-converted-space"/>
    <w:basedOn w:val="Standardnpsmoodstavce"/>
    <w:rsid w:val="007C5A9D"/>
  </w:style>
  <w:style w:type="paragraph" w:customStyle="1" w:styleId="FlietextFlietext">
    <w:name w:val="Fließtext (Fließtext)"/>
    <w:basedOn w:val="Normln"/>
    <w:uiPriority w:val="99"/>
    <w:rsid w:val="00F8507C"/>
    <w:pPr>
      <w:adjustRightInd w:val="0"/>
      <w:spacing w:after="57" w:line="288" w:lineRule="auto"/>
      <w:textAlignment w:val="center"/>
    </w:pPr>
    <w:rPr>
      <w:rFonts w:ascii="MyriadPro-Light" w:eastAsiaTheme="minorHAnsi" w:hAnsi="MyriadPro-Light" w:cs="MyriadPro-Light"/>
      <w:color w:val="0E2627"/>
      <w:sz w:val="20"/>
      <w:szCs w:val="20"/>
      <w:lang w:val="de-DE"/>
    </w:rPr>
  </w:style>
  <w:style w:type="character" w:styleId="Odkaznakoment">
    <w:name w:val="annotation reference"/>
    <w:basedOn w:val="Standardnpsmoodstavce"/>
    <w:uiPriority w:val="99"/>
    <w:semiHidden/>
    <w:unhideWhenUsed/>
    <w:rsid w:val="00A230CD"/>
    <w:rPr>
      <w:sz w:val="16"/>
      <w:szCs w:val="16"/>
    </w:rPr>
  </w:style>
  <w:style w:type="paragraph" w:styleId="Textkomente">
    <w:name w:val="annotation text"/>
    <w:basedOn w:val="Normln"/>
    <w:link w:val="TextkomenteChar"/>
    <w:uiPriority w:val="99"/>
    <w:semiHidden/>
    <w:unhideWhenUsed/>
    <w:rsid w:val="00A230CD"/>
    <w:rPr>
      <w:sz w:val="20"/>
      <w:szCs w:val="20"/>
    </w:rPr>
  </w:style>
  <w:style w:type="character" w:customStyle="1" w:styleId="TextkomenteChar">
    <w:name w:val="Text komentáře Char"/>
    <w:basedOn w:val="Standardnpsmoodstavce"/>
    <w:link w:val="Textkomente"/>
    <w:uiPriority w:val="99"/>
    <w:semiHidden/>
    <w:rsid w:val="00A230CD"/>
    <w:rPr>
      <w:rFonts w:ascii="Arial" w:eastAsia="Arial" w:hAnsi="Arial" w:cs="Arial"/>
      <w:sz w:val="20"/>
      <w:szCs w:val="20"/>
    </w:rPr>
  </w:style>
  <w:style w:type="paragraph" w:styleId="Pedmtkomente">
    <w:name w:val="annotation subject"/>
    <w:basedOn w:val="Textkomente"/>
    <w:next w:val="Textkomente"/>
    <w:link w:val="PedmtkomenteChar"/>
    <w:uiPriority w:val="99"/>
    <w:semiHidden/>
    <w:unhideWhenUsed/>
    <w:rsid w:val="00A230CD"/>
    <w:rPr>
      <w:b/>
      <w:bCs/>
    </w:rPr>
  </w:style>
  <w:style w:type="character" w:customStyle="1" w:styleId="PedmtkomenteChar">
    <w:name w:val="Předmět komentáře Char"/>
    <w:basedOn w:val="TextkomenteChar"/>
    <w:link w:val="Pedmtkomente"/>
    <w:uiPriority w:val="99"/>
    <w:semiHidden/>
    <w:rsid w:val="00A230CD"/>
    <w:rPr>
      <w:rFonts w:ascii="Arial" w:eastAsia="Arial" w:hAnsi="Arial" w:cs="Arial"/>
      <w:b/>
      <w:bCs/>
      <w:sz w:val="20"/>
      <w:szCs w:val="20"/>
    </w:rPr>
  </w:style>
  <w:style w:type="paragraph" w:styleId="Textbubliny">
    <w:name w:val="Balloon Text"/>
    <w:basedOn w:val="Normln"/>
    <w:link w:val="TextbublinyChar"/>
    <w:uiPriority w:val="99"/>
    <w:semiHidden/>
    <w:unhideWhenUsed/>
    <w:rsid w:val="00A230C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230CD"/>
    <w:rPr>
      <w:rFonts w:ascii="Segoe UI" w:eastAsia="Arial" w:hAnsi="Segoe UI" w:cs="Segoe UI"/>
      <w:sz w:val="18"/>
      <w:szCs w:val="18"/>
    </w:rPr>
  </w:style>
  <w:style w:type="character" w:customStyle="1" w:styleId="hash">
    <w:name w:val="hash"/>
    <w:basedOn w:val="Standardnpsmoodstavce"/>
    <w:rsid w:val="005312C0"/>
  </w:style>
  <w:style w:type="character" w:customStyle="1" w:styleId="link-complex-target">
    <w:name w:val="link-complex-target"/>
    <w:basedOn w:val="Standardnpsmoodstavce"/>
    <w:rsid w:val="005312C0"/>
  </w:style>
  <w:style w:type="character" w:styleId="Sledovanodkaz">
    <w:name w:val="FollowedHyperlink"/>
    <w:basedOn w:val="Standardnpsmoodstavce"/>
    <w:uiPriority w:val="99"/>
    <w:semiHidden/>
    <w:unhideWhenUsed/>
    <w:rsid w:val="00B91805"/>
    <w:rPr>
      <w:color w:val="800080" w:themeColor="followedHyperlink"/>
      <w:u w:val="single"/>
    </w:rPr>
  </w:style>
  <w:style w:type="character" w:customStyle="1" w:styleId="Nadpis2Char">
    <w:name w:val="Nadpis 2 Char"/>
    <w:basedOn w:val="Standardnpsmoodstavce"/>
    <w:link w:val="Nadpis2"/>
    <w:uiPriority w:val="9"/>
    <w:rsid w:val="006D58C1"/>
    <w:rPr>
      <w:rFonts w:asciiTheme="majorHAnsi" w:eastAsiaTheme="majorEastAsia" w:hAnsiTheme="majorHAnsi" w:cstheme="majorBidi"/>
      <w:color w:val="365F91" w:themeColor="accent1" w:themeShade="BF"/>
      <w:sz w:val="26"/>
      <w:szCs w:val="26"/>
      <w:lang w:val="de-DE"/>
    </w:rPr>
  </w:style>
  <w:style w:type="paragraph" w:styleId="Normlnweb">
    <w:name w:val="Normal (Web)"/>
    <w:basedOn w:val="Normln"/>
    <w:uiPriority w:val="99"/>
    <w:unhideWhenUsed/>
    <w:rsid w:val="00175A6D"/>
    <w:pPr>
      <w:widowControl/>
      <w:autoSpaceDE/>
      <w:autoSpaceDN/>
      <w:spacing w:before="100" w:beforeAutospacing="1" w:after="100" w:afterAutospacing="1"/>
    </w:pPr>
    <w:rPr>
      <w:rFonts w:ascii="Times New Roman" w:eastAsia="Times New Roman" w:hAnsi="Times New Roman" w:cs="Times New Roman"/>
      <w:sz w:val="24"/>
      <w:szCs w:val="24"/>
      <w:lang w:val="cs-CZ" w:eastAsia="cs-CZ"/>
    </w:rPr>
  </w:style>
  <w:style w:type="character" w:styleId="Zdraznn">
    <w:name w:val="Emphasis"/>
    <w:basedOn w:val="Standardnpsmoodstavce"/>
    <w:uiPriority w:val="20"/>
    <w:qFormat/>
    <w:rsid w:val="00175A6D"/>
    <w:rPr>
      <w:i/>
      <w:iCs/>
    </w:rPr>
  </w:style>
  <w:style w:type="character" w:customStyle="1" w:styleId="Nadpis1Char">
    <w:name w:val="Nadpis 1 Char"/>
    <w:basedOn w:val="Standardnpsmoodstavce"/>
    <w:link w:val="Nadpis1"/>
    <w:uiPriority w:val="9"/>
    <w:rsid w:val="00966816"/>
    <w:rPr>
      <w:rFonts w:ascii="Times New Roman" w:eastAsia="Times New Roman" w:hAnsi="Times New Roman" w:cs="Times New Roman"/>
      <w:b/>
      <w:bCs/>
      <w:kern w:val="36"/>
      <w:sz w:val="48"/>
      <w:szCs w:val="48"/>
      <w:lang w:val="cs-CZ" w:eastAsia="cs-CZ"/>
    </w:rPr>
  </w:style>
  <w:style w:type="character" w:styleId="Siln">
    <w:name w:val="Strong"/>
    <w:basedOn w:val="Standardnpsmoodstavce"/>
    <w:uiPriority w:val="22"/>
    <w:qFormat/>
    <w:rsid w:val="009668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750959">
      <w:bodyDiv w:val="1"/>
      <w:marLeft w:val="0"/>
      <w:marRight w:val="0"/>
      <w:marTop w:val="0"/>
      <w:marBottom w:val="0"/>
      <w:divBdr>
        <w:top w:val="none" w:sz="0" w:space="0" w:color="auto"/>
        <w:left w:val="none" w:sz="0" w:space="0" w:color="auto"/>
        <w:bottom w:val="none" w:sz="0" w:space="0" w:color="auto"/>
        <w:right w:val="none" w:sz="0" w:space="0" w:color="auto"/>
      </w:divBdr>
    </w:div>
    <w:div w:id="326590161">
      <w:bodyDiv w:val="1"/>
      <w:marLeft w:val="0"/>
      <w:marRight w:val="0"/>
      <w:marTop w:val="0"/>
      <w:marBottom w:val="0"/>
      <w:divBdr>
        <w:top w:val="none" w:sz="0" w:space="0" w:color="auto"/>
        <w:left w:val="none" w:sz="0" w:space="0" w:color="auto"/>
        <w:bottom w:val="none" w:sz="0" w:space="0" w:color="auto"/>
        <w:right w:val="none" w:sz="0" w:space="0" w:color="auto"/>
      </w:divBdr>
    </w:div>
    <w:div w:id="583148828">
      <w:bodyDiv w:val="1"/>
      <w:marLeft w:val="0"/>
      <w:marRight w:val="0"/>
      <w:marTop w:val="0"/>
      <w:marBottom w:val="0"/>
      <w:divBdr>
        <w:top w:val="none" w:sz="0" w:space="0" w:color="auto"/>
        <w:left w:val="none" w:sz="0" w:space="0" w:color="auto"/>
        <w:bottom w:val="none" w:sz="0" w:space="0" w:color="auto"/>
        <w:right w:val="none" w:sz="0" w:space="0" w:color="auto"/>
      </w:divBdr>
    </w:div>
    <w:div w:id="820656254">
      <w:bodyDiv w:val="1"/>
      <w:marLeft w:val="0"/>
      <w:marRight w:val="0"/>
      <w:marTop w:val="0"/>
      <w:marBottom w:val="0"/>
      <w:divBdr>
        <w:top w:val="none" w:sz="0" w:space="0" w:color="auto"/>
        <w:left w:val="none" w:sz="0" w:space="0" w:color="auto"/>
        <w:bottom w:val="none" w:sz="0" w:space="0" w:color="auto"/>
        <w:right w:val="none" w:sz="0" w:space="0" w:color="auto"/>
      </w:divBdr>
      <w:divsChild>
        <w:div w:id="730345208">
          <w:marLeft w:val="0"/>
          <w:marRight w:val="0"/>
          <w:marTop w:val="0"/>
          <w:marBottom w:val="0"/>
          <w:divBdr>
            <w:top w:val="none" w:sz="0" w:space="0" w:color="auto"/>
            <w:left w:val="none" w:sz="0" w:space="0" w:color="auto"/>
            <w:bottom w:val="none" w:sz="0" w:space="0" w:color="auto"/>
            <w:right w:val="none" w:sz="0" w:space="0" w:color="auto"/>
          </w:divBdr>
        </w:div>
        <w:div w:id="1789615878">
          <w:marLeft w:val="0"/>
          <w:marRight w:val="0"/>
          <w:marTop w:val="0"/>
          <w:marBottom w:val="0"/>
          <w:divBdr>
            <w:top w:val="none" w:sz="0" w:space="0" w:color="auto"/>
            <w:left w:val="none" w:sz="0" w:space="0" w:color="auto"/>
            <w:bottom w:val="none" w:sz="0" w:space="0" w:color="auto"/>
            <w:right w:val="none" w:sz="0" w:space="0" w:color="auto"/>
          </w:divBdr>
        </w:div>
        <w:div w:id="288584561">
          <w:marLeft w:val="0"/>
          <w:marRight w:val="0"/>
          <w:marTop w:val="0"/>
          <w:marBottom w:val="0"/>
          <w:divBdr>
            <w:top w:val="none" w:sz="0" w:space="0" w:color="auto"/>
            <w:left w:val="none" w:sz="0" w:space="0" w:color="auto"/>
            <w:bottom w:val="none" w:sz="0" w:space="0" w:color="auto"/>
            <w:right w:val="none" w:sz="0" w:space="0" w:color="auto"/>
          </w:divBdr>
        </w:div>
        <w:div w:id="1843006011">
          <w:marLeft w:val="0"/>
          <w:marRight w:val="0"/>
          <w:marTop w:val="0"/>
          <w:marBottom w:val="0"/>
          <w:divBdr>
            <w:top w:val="none" w:sz="0" w:space="0" w:color="auto"/>
            <w:left w:val="none" w:sz="0" w:space="0" w:color="auto"/>
            <w:bottom w:val="none" w:sz="0" w:space="0" w:color="auto"/>
            <w:right w:val="none" w:sz="0" w:space="0" w:color="auto"/>
          </w:divBdr>
        </w:div>
        <w:div w:id="249512686">
          <w:marLeft w:val="0"/>
          <w:marRight w:val="0"/>
          <w:marTop w:val="0"/>
          <w:marBottom w:val="0"/>
          <w:divBdr>
            <w:top w:val="none" w:sz="0" w:space="0" w:color="auto"/>
            <w:left w:val="none" w:sz="0" w:space="0" w:color="auto"/>
            <w:bottom w:val="none" w:sz="0" w:space="0" w:color="auto"/>
            <w:right w:val="none" w:sz="0" w:space="0" w:color="auto"/>
          </w:divBdr>
        </w:div>
      </w:divsChild>
    </w:div>
    <w:div w:id="945044231">
      <w:bodyDiv w:val="1"/>
      <w:marLeft w:val="0"/>
      <w:marRight w:val="0"/>
      <w:marTop w:val="0"/>
      <w:marBottom w:val="0"/>
      <w:divBdr>
        <w:top w:val="none" w:sz="0" w:space="0" w:color="auto"/>
        <w:left w:val="none" w:sz="0" w:space="0" w:color="auto"/>
        <w:bottom w:val="none" w:sz="0" w:space="0" w:color="auto"/>
        <w:right w:val="none" w:sz="0" w:space="0" w:color="auto"/>
      </w:divBdr>
    </w:div>
    <w:div w:id="1010330876">
      <w:bodyDiv w:val="1"/>
      <w:marLeft w:val="0"/>
      <w:marRight w:val="0"/>
      <w:marTop w:val="0"/>
      <w:marBottom w:val="0"/>
      <w:divBdr>
        <w:top w:val="none" w:sz="0" w:space="0" w:color="auto"/>
        <w:left w:val="none" w:sz="0" w:space="0" w:color="auto"/>
        <w:bottom w:val="none" w:sz="0" w:space="0" w:color="auto"/>
        <w:right w:val="none" w:sz="0" w:space="0" w:color="auto"/>
      </w:divBdr>
      <w:divsChild>
        <w:div w:id="675349035">
          <w:marLeft w:val="0"/>
          <w:marRight w:val="0"/>
          <w:marTop w:val="0"/>
          <w:marBottom w:val="0"/>
          <w:divBdr>
            <w:top w:val="none" w:sz="0" w:space="0" w:color="auto"/>
            <w:left w:val="none" w:sz="0" w:space="0" w:color="auto"/>
            <w:bottom w:val="none" w:sz="0" w:space="0" w:color="auto"/>
            <w:right w:val="none" w:sz="0" w:space="0" w:color="auto"/>
          </w:divBdr>
        </w:div>
        <w:div w:id="836269079">
          <w:marLeft w:val="0"/>
          <w:marRight w:val="0"/>
          <w:marTop w:val="0"/>
          <w:marBottom w:val="0"/>
          <w:divBdr>
            <w:top w:val="none" w:sz="0" w:space="0" w:color="auto"/>
            <w:left w:val="none" w:sz="0" w:space="0" w:color="auto"/>
            <w:bottom w:val="none" w:sz="0" w:space="0" w:color="auto"/>
            <w:right w:val="none" w:sz="0" w:space="0" w:color="auto"/>
          </w:divBdr>
        </w:div>
        <w:div w:id="1275868416">
          <w:marLeft w:val="0"/>
          <w:marRight w:val="0"/>
          <w:marTop w:val="0"/>
          <w:marBottom w:val="0"/>
          <w:divBdr>
            <w:top w:val="none" w:sz="0" w:space="0" w:color="auto"/>
            <w:left w:val="none" w:sz="0" w:space="0" w:color="auto"/>
            <w:bottom w:val="none" w:sz="0" w:space="0" w:color="auto"/>
            <w:right w:val="none" w:sz="0" w:space="0" w:color="auto"/>
          </w:divBdr>
        </w:div>
        <w:div w:id="1283071533">
          <w:marLeft w:val="0"/>
          <w:marRight w:val="0"/>
          <w:marTop w:val="0"/>
          <w:marBottom w:val="0"/>
          <w:divBdr>
            <w:top w:val="none" w:sz="0" w:space="0" w:color="auto"/>
            <w:left w:val="none" w:sz="0" w:space="0" w:color="auto"/>
            <w:bottom w:val="none" w:sz="0" w:space="0" w:color="auto"/>
            <w:right w:val="none" w:sz="0" w:space="0" w:color="auto"/>
          </w:divBdr>
        </w:div>
        <w:div w:id="674461157">
          <w:marLeft w:val="0"/>
          <w:marRight w:val="0"/>
          <w:marTop w:val="0"/>
          <w:marBottom w:val="0"/>
          <w:divBdr>
            <w:top w:val="none" w:sz="0" w:space="0" w:color="auto"/>
            <w:left w:val="none" w:sz="0" w:space="0" w:color="auto"/>
            <w:bottom w:val="none" w:sz="0" w:space="0" w:color="auto"/>
            <w:right w:val="none" w:sz="0" w:space="0" w:color="auto"/>
          </w:divBdr>
        </w:div>
        <w:div w:id="65081067">
          <w:marLeft w:val="0"/>
          <w:marRight w:val="0"/>
          <w:marTop w:val="0"/>
          <w:marBottom w:val="0"/>
          <w:divBdr>
            <w:top w:val="none" w:sz="0" w:space="0" w:color="auto"/>
            <w:left w:val="none" w:sz="0" w:space="0" w:color="auto"/>
            <w:bottom w:val="none" w:sz="0" w:space="0" w:color="auto"/>
            <w:right w:val="none" w:sz="0" w:space="0" w:color="auto"/>
          </w:divBdr>
        </w:div>
        <w:div w:id="1703703367">
          <w:marLeft w:val="0"/>
          <w:marRight w:val="0"/>
          <w:marTop w:val="0"/>
          <w:marBottom w:val="0"/>
          <w:divBdr>
            <w:top w:val="none" w:sz="0" w:space="0" w:color="auto"/>
            <w:left w:val="none" w:sz="0" w:space="0" w:color="auto"/>
            <w:bottom w:val="none" w:sz="0" w:space="0" w:color="auto"/>
            <w:right w:val="none" w:sz="0" w:space="0" w:color="auto"/>
          </w:divBdr>
        </w:div>
        <w:div w:id="467626213">
          <w:marLeft w:val="0"/>
          <w:marRight w:val="0"/>
          <w:marTop w:val="0"/>
          <w:marBottom w:val="0"/>
          <w:divBdr>
            <w:top w:val="none" w:sz="0" w:space="0" w:color="auto"/>
            <w:left w:val="none" w:sz="0" w:space="0" w:color="auto"/>
            <w:bottom w:val="none" w:sz="0" w:space="0" w:color="auto"/>
            <w:right w:val="none" w:sz="0" w:space="0" w:color="auto"/>
          </w:divBdr>
        </w:div>
      </w:divsChild>
    </w:div>
    <w:div w:id="1059207938">
      <w:bodyDiv w:val="1"/>
      <w:marLeft w:val="0"/>
      <w:marRight w:val="0"/>
      <w:marTop w:val="0"/>
      <w:marBottom w:val="0"/>
      <w:divBdr>
        <w:top w:val="none" w:sz="0" w:space="0" w:color="auto"/>
        <w:left w:val="none" w:sz="0" w:space="0" w:color="auto"/>
        <w:bottom w:val="none" w:sz="0" w:space="0" w:color="auto"/>
        <w:right w:val="none" w:sz="0" w:space="0" w:color="auto"/>
      </w:divBdr>
    </w:div>
    <w:div w:id="1437561635">
      <w:bodyDiv w:val="1"/>
      <w:marLeft w:val="0"/>
      <w:marRight w:val="0"/>
      <w:marTop w:val="0"/>
      <w:marBottom w:val="0"/>
      <w:divBdr>
        <w:top w:val="none" w:sz="0" w:space="0" w:color="auto"/>
        <w:left w:val="none" w:sz="0" w:space="0" w:color="auto"/>
        <w:bottom w:val="none" w:sz="0" w:space="0" w:color="auto"/>
        <w:right w:val="none" w:sz="0" w:space="0" w:color="auto"/>
      </w:divBdr>
    </w:div>
    <w:div w:id="1456018181">
      <w:bodyDiv w:val="1"/>
      <w:marLeft w:val="0"/>
      <w:marRight w:val="0"/>
      <w:marTop w:val="0"/>
      <w:marBottom w:val="0"/>
      <w:divBdr>
        <w:top w:val="none" w:sz="0" w:space="0" w:color="auto"/>
        <w:left w:val="none" w:sz="0" w:space="0" w:color="auto"/>
        <w:bottom w:val="none" w:sz="0" w:space="0" w:color="auto"/>
        <w:right w:val="none" w:sz="0" w:space="0" w:color="auto"/>
      </w:divBdr>
      <w:divsChild>
        <w:div w:id="2082749982">
          <w:marLeft w:val="0"/>
          <w:marRight w:val="0"/>
          <w:marTop w:val="0"/>
          <w:marBottom w:val="0"/>
          <w:divBdr>
            <w:top w:val="none" w:sz="0" w:space="0" w:color="auto"/>
            <w:left w:val="none" w:sz="0" w:space="0" w:color="auto"/>
            <w:bottom w:val="none" w:sz="0" w:space="0" w:color="auto"/>
            <w:right w:val="none" w:sz="0" w:space="0" w:color="auto"/>
          </w:divBdr>
        </w:div>
        <w:div w:id="273754986">
          <w:marLeft w:val="0"/>
          <w:marRight w:val="0"/>
          <w:marTop w:val="0"/>
          <w:marBottom w:val="0"/>
          <w:divBdr>
            <w:top w:val="none" w:sz="0" w:space="0" w:color="auto"/>
            <w:left w:val="none" w:sz="0" w:space="0" w:color="auto"/>
            <w:bottom w:val="none" w:sz="0" w:space="0" w:color="auto"/>
            <w:right w:val="none" w:sz="0" w:space="0" w:color="auto"/>
          </w:divBdr>
        </w:div>
        <w:div w:id="636229028">
          <w:marLeft w:val="0"/>
          <w:marRight w:val="0"/>
          <w:marTop w:val="0"/>
          <w:marBottom w:val="0"/>
          <w:divBdr>
            <w:top w:val="none" w:sz="0" w:space="0" w:color="auto"/>
            <w:left w:val="none" w:sz="0" w:space="0" w:color="auto"/>
            <w:bottom w:val="none" w:sz="0" w:space="0" w:color="auto"/>
            <w:right w:val="none" w:sz="0" w:space="0" w:color="auto"/>
          </w:divBdr>
        </w:div>
        <w:div w:id="1129324722">
          <w:marLeft w:val="0"/>
          <w:marRight w:val="0"/>
          <w:marTop w:val="0"/>
          <w:marBottom w:val="0"/>
          <w:divBdr>
            <w:top w:val="none" w:sz="0" w:space="0" w:color="auto"/>
            <w:left w:val="none" w:sz="0" w:space="0" w:color="auto"/>
            <w:bottom w:val="none" w:sz="0" w:space="0" w:color="auto"/>
            <w:right w:val="none" w:sz="0" w:space="0" w:color="auto"/>
          </w:divBdr>
        </w:div>
        <w:div w:id="1383094614">
          <w:marLeft w:val="0"/>
          <w:marRight w:val="0"/>
          <w:marTop w:val="0"/>
          <w:marBottom w:val="0"/>
          <w:divBdr>
            <w:top w:val="none" w:sz="0" w:space="0" w:color="auto"/>
            <w:left w:val="none" w:sz="0" w:space="0" w:color="auto"/>
            <w:bottom w:val="none" w:sz="0" w:space="0" w:color="auto"/>
            <w:right w:val="none" w:sz="0" w:space="0" w:color="auto"/>
          </w:divBdr>
        </w:div>
        <w:div w:id="1331641754">
          <w:marLeft w:val="0"/>
          <w:marRight w:val="0"/>
          <w:marTop w:val="0"/>
          <w:marBottom w:val="0"/>
          <w:divBdr>
            <w:top w:val="none" w:sz="0" w:space="0" w:color="auto"/>
            <w:left w:val="none" w:sz="0" w:space="0" w:color="auto"/>
            <w:bottom w:val="none" w:sz="0" w:space="0" w:color="auto"/>
            <w:right w:val="none" w:sz="0" w:space="0" w:color="auto"/>
          </w:divBdr>
        </w:div>
        <w:div w:id="1293443444">
          <w:marLeft w:val="0"/>
          <w:marRight w:val="0"/>
          <w:marTop w:val="0"/>
          <w:marBottom w:val="0"/>
          <w:divBdr>
            <w:top w:val="none" w:sz="0" w:space="0" w:color="auto"/>
            <w:left w:val="none" w:sz="0" w:space="0" w:color="auto"/>
            <w:bottom w:val="none" w:sz="0" w:space="0" w:color="auto"/>
            <w:right w:val="none" w:sz="0" w:space="0" w:color="auto"/>
          </w:divBdr>
        </w:div>
      </w:divsChild>
    </w:div>
    <w:div w:id="1464694840">
      <w:bodyDiv w:val="1"/>
      <w:marLeft w:val="0"/>
      <w:marRight w:val="0"/>
      <w:marTop w:val="0"/>
      <w:marBottom w:val="0"/>
      <w:divBdr>
        <w:top w:val="none" w:sz="0" w:space="0" w:color="auto"/>
        <w:left w:val="none" w:sz="0" w:space="0" w:color="auto"/>
        <w:bottom w:val="none" w:sz="0" w:space="0" w:color="auto"/>
        <w:right w:val="none" w:sz="0" w:space="0" w:color="auto"/>
      </w:divBdr>
    </w:div>
    <w:div w:id="1578710762">
      <w:bodyDiv w:val="1"/>
      <w:marLeft w:val="0"/>
      <w:marRight w:val="0"/>
      <w:marTop w:val="0"/>
      <w:marBottom w:val="0"/>
      <w:divBdr>
        <w:top w:val="none" w:sz="0" w:space="0" w:color="auto"/>
        <w:left w:val="none" w:sz="0" w:space="0" w:color="auto"/>
        <w:bottom w:val="none" w:sz="0" w:space="0" w:color="auto"/>
        <w:right w:val="none" w:sz="0" w:space="0" w:color="auto"/>
      </w:divBdr>
    </w:div>
    <w:div w:id="1668050285">
      <w:bodyDiv w:val="1"/>
      <w:marLeft w:val="0"/>
      <w:marRight w:val="0"/>
      <w:marTop w:val="0"/>
      <w:marBottom w:val="0"/>
      <w:divBdr>
        <w:top w:val="none" w:sz="0" w:space="0" w:color="auto"/>
        <w:left w:val="none" w:sz="0" w:space="0" w:color="auto"/>
        <w:bottom w:val="none" w:sz="0" w:space="0" w:color="auto"/>
        <w:right w:val="none" w:sz="0" w:space="0" w:color="auto"/>
      </w:divBdr>
    </w:div>
    <w:div w:id="1717661173">
      <w:bodyDiv w:val="1"/>
      <w:marLeft w:val="0"/>
      <w:marRight w:val="0"/>
      <w:marTop w:val="0"/>
      <w:marBottom w:val="0"/>
      <w:divBdr>
        <w:top w:val="none" w:sz="0" w:space="0" w:color="auto"/>
        <w:left w:val="none" w:sz="0" w:space="0" w:color="auto"/>
        <w:bottom w:val="none" w:sz="0" w:space="0" w:color="auto"/>
        <w:right w:val="none" w:sz="0" w:space="0" w:color="auto"/>
      </w:divBdr>
    </w:div>
    <w:div w:id="2069457377">
      <w:bodyDiv w:val="1"/>
      <w:marLeft w:val="0"/>
      <w:marRight w:val="0"/>
      <w:marTop w:val="0"/>
      <w:marBottom w:val="0"/>
      <w:divBdr>
        <w:top w:val="none" w:sz="0" w:space="0" w:color="auto"/>
        <w:left w:val="none" w:sz="0" w:space="0" w:color="auto"/>
        <w:bottom w:val="none" w:sz="0" w:space="0" w:color="auto"/>
        <w:right w:val="none" w:sz="0" w:space="0" w:color="auto"/>
      </w:divBdr>
      <w:divsChild>
        <w:div w:id="2092390709">
          <w:marLeft w:val="0"/>
          <w:marRight w:val="0"/>
          <w:marTop w:val="0"/>
          <w:marBottom w:val="0"/>
          <w:divBdr>
            <w:top w:val="none" w:sz="0" w:space="0" w:color="auto"/>
            <w:left w:val="none" w:sz="0" w:space="0" w:color="auto"/>
            <w:bottom w:val="none" w:sz="0" w:space="0" w:color="auto"/>
            <w:right w:val="none" w:sz="0" w:space="0" w:color="auto"/>
          </w:divBdr>
        </w:div>
        <w:div w:id="1901863888">
          <w:marLeft w:val="0"/>
          <w:marRight w:val="0"/>
          <w:marTop w:val="0"/>
          <w:marBottom w:val="0"/>
          <w:divBdr>
            <w:top w:val="none" w:sz="0" w:space="0" w:color="auto"/>
            <w:left w:val="none" w:sz="0" w:space="0" w:color="auto"/>
            <w:bottom w:val="none" w:sz="0" w:space="0" w:color="auto"/>
            <w:right w:val="none" w:sz="0" w:space="0" w:color="auto"/>
          </w:divBdr>
        </w:div>
        <w:div w:id="2112048768">
          <w:marLeft w:val="0"/>
          <w:marRight w:val="0"/>
          <w:marTop w:val="0"/>
          <w:marBottom w:val="0"/>
          <w:divBdr>
            <w:top w:val="none" w:sz="0" w:space="0" w:color="auto"/>
            <w:left w:val="none" w:sz="0" w:space="0" w:color="auto"/>
            <w:bottom w:val="none" w:sz="0" w:space="0" w:color="auto"/>
            <w:right w:val="none" w:sz="0" w:space="0" w:color="auto"/>
          </w:divBdr>
        </w:div>
        <w:div w:id="300579928">
          <w:marLeft w:val="0"/>
          <w:marRight w:val="0"/>
          <w:marTop w:val="0"/>
          <w:marBottom w:val="0"/>
          <w:divBdr>
            <w:top w:val="none" w:sz="0" w:space="0" w:color="auto"/>
            <w:left w:val="none" w:sz="0" w:space="0" w:color="auto"/>
            <w:bottom w:val="none" w:sz="0" w:space="0" w:color="auto"/>
            <w:right w:val="none" w:sz="0" w:space="0" w:color="auto"/>
          </w:divBdr>
        </w:div>
        <w:div w:id="14438383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tichota@coi.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77"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453</Words>
  <Characters>2237</Characters>
  <Application>Microsoft Office Word</Application>
  <DocSecurity>0</DocSecurity>
  <Lines>33</Lines>
  <Paragraphs>8</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Jonas Maunichy</dc:creator>
  <cp:lastModifiedBy>Tichota Ondřej, Mgr., DiS.</cp:lastModifiedBy>
  <cp:revision>3</cp:revision>
  <cp:lastPrinted>2018-03-22T08:15:00Z</cp:lastPrinted>
  <dcterms:created xsi:type="dcterms:W3CDTF">2024-01-14T10:11:00Z</dcterms:created>
  <dcterms:modified xsi:type="dcterms:W3CDTF">2024-01-14T10:11:00Z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2017-06-29T00:00:00Z</vt:filetime>
  </property>
  <property fmtid="{D5CDD505-2E9C-101B-9397-08002B2CF9AE}" pid="3" name="Creator">
    <vt:lpwstr>Adobe InDesign CC 2017 (Macintosh)</vt:lpwstr>
  </property>
  <property fmtid="{D5CDD505-2E9C-101B-9397-08002B2CF9AE}" pid="4" name="LastSaved">
    <vt:filetime>2017-07-28T00:00:00Z</vt:filetime>
  </property>
</Properties>
</file>